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9EB7" w14:textId="30ACF3BE" w:rsidR="0013686C" w:rsidRPr="00D82E74" w:rsidRDefault="0013686C" w:rsidP="0013686C">
      <w:pPr>
        <w:pStyle w:val="3GPPHeader"/>
        <w:spacing w:after="0"/>
        <w:rPr>
          <w:rFonts w:ascii="Arial" w:hAnsi="Arial" w:cs="Arial"/>
          <w:sz w:val="22"/>
        </w:rPr>
      </w:pPr>
      <w:bookmarkStart w:id="0" w:name="_Hlk492190689"/>
      <w:r w:rsidRPr="00D82E74">
        <w:rPr>
          <w:rFonts w:ascii="Arial" w:hAnsi="Arial" w:cs="Arial"/>
          <w:sz w:val="22"/>
        </w:rPr>
        <w:t>3GPP TSG-RAN2 Meeting #105</w:t>
      </w:r>
      <w:r w:rsidR="009A1476">
        <w:rPr>
          <w:rFonts w:ascii="Arial" w:hAnsi="Arial" w:cs="Arial"/>
          <w:sz w:val="22"/>
        </w:rPr>
        <w:t>bis</w:t>
      </w:r>
      <w:r w:rsidRPr="00D82E74">
        <w:rPr>
          <w:rFonts w:ascii="Arial" w:hAnsi="Arial" w:cs="Arial"/>
          <w:sz w:val="22"/>
        </w:rPr>
        <w:tab/>
      </w:r>
      <w:r w:rsidR="00477704" w:rsidRPr="00477704">
        <w:rPr>
          <w:rFonts w:ascii="Arial" w:hAnsi="Arial" w:cs="Arial"/>
          <w:sz w:val="22"/>
        </w:rPr>
        <w:t>R2-1904151</w:t>
      </w:r>
    </w:p>
    <w:bookmarkEnd w:id="0"/>
    <w:p w14:paraId="312498EA" w14:textId="15DA3700" w:rsidR="0013686C" w:rsidRDefault="00891598" w:rsidP="0013686C">
      <w:pPr>
        <w:pStyle w:val="3GPPHeader"/>
        <w:spacing w:after="0"/>
        <w:rPr>
          <w:rFonts w:ascii="Arial" w:hAnsi="Arial" w:cs="Arial"/>
          <w:sz w:val="22"/>
        </w:rPr>
      </w:pPr>
      <w:r w:rsidRPr="00891598">
        <w:rPr>
          <w:rFonts w:ascii="Arial" w:hAnsi="Arial" w:cs="Arial"/>
          <w:sz w:val="22"/>
        </w:rPr>
        <w:t>Xi'an, China, 8 - 12 April</w:t>
      </w:r>
      <w:r>
        <w:rPr>
          <w:rFonts w:ascii="Arial" w:hAnsi="Arial" w:cs="Arial"/>
          <w:sz w:val="22"/>
        </w:rPr>
        <w:t xml:space="preserve"> </w:t>
      </w:r>
      <w:r w:rsidR="0013686C" w:rsidRPr="00551C91">
        <w:rPr>
          <w:rFonts w:ascii="Arial" w:hAnsi="Arial" w:cs="Arial"/>
          <w:sz w:val="22"/>
        </w:rPr>
        <w:t>2019</w:t>
      </w:r>
      <w:r w:rsidR="002E6C42">
        <w:rPr>
          <w:rFonts w:ascii="Arial" w:hAnsi="Arial" w:cs="Arial"/>
          <w:sz w:val="22"/>
        </w:rPr>
        <w:tab/>
        <w:t xml:space="preserve">Re-submission of </w:t>
      </w:r>
      <w:r w:rsidR="002E6C42" w:rsidRPr="00333C9F">
        <w:rPr>
          <w:rFonts w:ascii="Arial" w:hAnsi="Arial" w:cs="Arial"/>
          <w:sz w:val="22"/>
        </w:rPr>
        <w:t>R2-1901272</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2B3BB81F" w14:textId="589E8638" w:rsidR="00A132D1" w:rsidRPr="00521BFD" w:rsidRDefault="00A132D1" w:rsidP="00A132D1">
      <w:pPr>
        <w:pStyle w:val="3GPPHeader"/>
        <w:spacing w:after="120"/>
        <w:rPr>
          <w:rFonts w:ascii="Arial" w:hAnsi="Arial" w:cs="Arial"/>
          <w:b w:val="0"/>
          <w:sz w:val="22"/>
        </w:rPr>
      </w:pPr>
      <w:r w:rsidRPr="00521BFD">
        <w:rPr>
          <w:rFonts w:ascii="Arial" w:hAnsi="Arial" w:cs="Arial"/>
          <w:sz w:val="22"/>
        </w:rPr>
        <w:t>Agenda Item:</w:t>
      </w:r>
      <w:r w:rsidRPr="00521BFD">
        <w:rPr>
          <w:rFonts w:ascii="Arial" w:hAnsi="Arial" w:cs="Arial"/>
          <w:sz w:val="22"/>
        </w:rPr>
        <w:tab/>
      </w:r>
      <w:r w:rsidR="0085045D" w:rsidRPr="0085045D">
        <w:rPr>
          <w:rFonts w:ascii="Arial" w:hAnsi="Arial" w:cs="Arial"/>
          <w:b w:val="0"/>
          <w:sz w:val="22"/>
          <w:lang w:val="en-US"/>
        </w:rPr>
        <w:t>11.10.4.2</w:t>
      </w:r>
      <w:r w:rsidR="0085045D">
        <w:rPr>
          <w:rFonts w:ascii="Arial" w:hAnsi="Arial" w:cs="Arial"/>
          <w:b w:val="0"/>
          <w:sz w:val="22"/>
          <w:lang w:val="en-US"/>
        </w:rPr>
        <w:t xml:space="preserve"> </w:t>
      </w:r>
      <w:r w:rsidR="0085045D" w:rsidRPr="0085045D">
        <w:rPr>
          <w:rFonts w:ascii="Arial" w:hAnsi="Arial" w:cs="Arial"/>
          <w:b w:val="0"/>
          <w:sz w:val="22"/>
          <w:lang w:val="en-US"/>
        </w:rPr>
        <w:t xml:space="preserve">Measurements and reporting for Fast </w:t>
      </w:r>
      <w:bookmarkStart w:id="1" w:name="_GoBack"/>
      <w:bookmarkEnd w:id="1"/>
      <w:r w:rsidR="0085045D" w:rsidRPr="0085045D">
        <w:rPr>
          <w:rFonts w:ascii="Arial" w:hAnsi="Arial" w:cs="Arial"/>
          <w:b w:val="0"/>
          <w:sz w:val="22"/>
          <w:lang w:val="en-US"/>
        </w:rPr>
        <w:t>SCell activation</w:t>
      </w:r>
    </w:p>
    <w:p w14:paraId="2D1355D4" w14:textId="77777777" w:rsidR="00A132D1" w:rsidRPr="0050109B" w:rsidRDefault="00A132D1" w:rsidP="00A132D1">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59D07450" w14:textId="63C5512C" w:rsidR="00A132D1" w:rsidRPr="008F7D64" w:rsidRDefault="00A132D1" w:rsidP="00A132D1">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63A35">
        <w:rPr>
          <w:rFonts w:ascii="Arial" w:hAnsi="Arial" w:cs="Arial"/>
          <w:b w:val="0"/>
          <w:bCs/>
          <w:sz w:val="22"/>
          <w:lang w:val="en-US"/>
        </w:rPr>
        <w:t>New SCell state in NR</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06D2FAE" w:rsidR="00120D47" w:rsidRDefault="004D10CC" w:rsidP="00120D47">
      <w:pPr>
        <w:pStyle w:val="Heading1"/>
      </w:pPr>
      <w:r>
        <w:t>Introduction</w:t>
      </w:r>
    </w:p>
    <w:p w14:paraId="35653BED" w14:textId="6B518B04" w:rsidR="00F0616F" w:rsidRDefault="00F0616F" w:rsidP="00F0616F">
      <w:pPr>
        <w:rPr>
          <w:rFonts w:cs="Arial"/>
          <w:szCs w:val="20"/>
          <w:lang w:val="en-GB" w:eastAsia="zh-CN"/>
        </w:rPr>
      </w:pPr>
      <w:r>
        <w:rPr>
          <w:lang w:val="en-GB" w:eastAsia="zh-CN"/>
        </w:rPr>
        <w:t xml:space="preserve">The dormant SCell state, as known in LTE, was discussed for NR </w:t>
      </w:r>
      <w:r w:rsidR="00003B59">
        <w:rPr>
          <w:lang w:val="en-GB" w:eastAsia="zh-CN"/>
        </w:rPr>
        <w:t>during RAN2#105</w:t>
      </w:r>
      <w:r w:rsidR="00DB70F3">
        <w:rPr>
          <w:lang w:val="en-GB" w:eastAsia="zh-CN"/>
        </w:rPr>
        <w:t xml:space="preserve"> [1-</w:t>
      </w:r>
      <w:r w:rsidR="00F67B83">
        <w:rPr>
          <w:lang w:val="en-GB" w:eastAsia="zh-CN"/>
        </w:rPr>
        <w:t>8</w:t>
      </w:r>
      <w:r w:rsidR="00DB70F3">
        <w:rPr>
          <w:lang w:val="en-GB" w:eastAsia="zh-CN"/>
        </w:rPr>
        <w:t>]</w:t>
      </w:r>
      <w:r w:rsidR="00003B59">
        <w:rPr>
          <w:lang w:val="en-GB" w:eastAsia="zh-CN"/>
        </w:rPr>
        <w:t xml:space="preserve"> and it was</w:t>
      </w:r>
      <w:r>
        <w:rPr>
          <w:rFonts w:cs="Arial"/>
          <w:szCs w:val="20"/>
          <w:lang w:val="en-GB" w:eastAsia="zh-CN"/>
        </w:rPr>
        <w:t xml:space="preserve"> agreed: </w:t>
      </w:r>
    </w:p>
    <w:p w14:paraId="07B8CA2B" w14:textId="77777777" w:rsidR="00F0616F" w:rsidRPr="002E5D2B" w:rsidRDefault="00F0616F" w:rsidP="00F0616F">
      <w:pPr>
        <w:pStyle w:val="ListParagraph"/>
        <w:numPr>
          <w:ilvl w:val="0"/>
          <w:numId w:val="43"/>
        </w:numPr>
        <w:ind w:left="714" w:hanging="357"/>
        <w:rPr>
          <w:rFonts w:ascii="Times New Roman" w:hAnsi="Times New Roman"/>
          <w:color w:val="C45911" w:themeColor="accent2" w:themeShade="BF"/>
          <w:szCs w:val="20"/>
          <w:lang w:val="en-GB" w:eastAsia="zh-CN"/>
        </w:rPr>
      </w:pPr>
      <w:r w:rsidRPr="002E5D2B">
        <w:rPr>
          <w:rFonts w:ascii="Times New Roman" w:hAnsi="Times New Roman"/>
          <w:color w:val="C45911" w:themeColor="accent2" w:themeShade="BF"/>
          <w:szCs w:val="20"/>
          <w:lang w:val="en-GB" w:eastAsia="zh-CN"/>
        </w:rPr>
        <w:t xml:space="preserve">Next meeting </w:t>
      </w:r>
      <w:proofErr w:type="gramStart"/>
      <w:r w:rsidRPr="002E5D2B">
        <w:rPr>
          <w:rFonts w:ascii="Times New Roman" w:hAnsi="Times New Roman"/>
          <w:color w:val="C45911" w:themeColor="accent2" w:themeShade="BF"/>
          <w:szCs w:val="20"/>
          <w:lang w:val="en-GB" w:eastAsia="zh-CN"/>
        </w:rPr>
        <w:t>discuss</w:t>
      </w:r>
      <w:proofErr w:type="gramEnd"/>
      <w:r w:rsidRPr="002E5D2B">
        <w:rPr>
          <w:rFonts w:ascii="Times New Roman" w:hAnsi="Times New Roman"/>
          <w:color w:val="C45911" w:themeColor="accent2" w:themeShade="BF"/>
          <w:szCs w:val="20"/>
          <w:lang w:val="en-GB" w:eastAsia="zh-CN"/>
        </w:rPr>
        <w:t xml:space="preserve"> what the UE is required to do to speed up activation and how to do it.  </w:t>
      </w:r>
    </w:p>
    <w:p w14:paraId="19C3F78A" w14:textId="72937827" w:rsidR="00003B59" w:rsidRDefault="00003B59" w:rsidP="00003B59">
      <w:pPr>
        <w:rPr>
          <w:rFonts w:cs="Arial"/>
          <w:szCs w:val="20"/>
          <w:lang w:val="en-GB" w:eastAsia="zh-CN"/>
        </w:rPr>
      </w:pPr>
      <w:r>
        <w:rPr>
          <w:lang w:val="en-GB" w:eastAsia="zh-CN"/>
        </w:rPr>
        <w:t>For guidance on this topic it was captured</w:t>
      </w:r>
      <w:r w:rsidR="00B24CE6">
        <w:rPr>
          <w:lang w:val="en-GB" w:eastAsia="zh-CN"/>
        </w:rPr>
        <w:t xml:space="preserve"> for this agenda item for RAN2#105bis</w:t>
      </w:r>
      <w:r>
        <w:rPr>
          <w:rFonts w:cs="Arial"/>
          <w:szCs w:val="20"/>
          <w:lang w:val="en-GB" w:eastAsia="zh-CN"/>
        </w:rPr>
        <w:t xml:space="preserve">: </w:t>
      </w:r>
    </w:p>
    <w:p w14:paraId="5CFDB03B" w14:textId="215568BD" w:rsidR="00037D31" w:rsidRPr="001405DB" w:rsidRDefault="00037D31" w:rsidP="001405DB">
      <w:pPr>
        <w:pStyle w:val="Comments"/>
        <w:spacing w:before="0"/>
        <w:rPr>
          <w:rFonts w:ascii="Times New Roman" w:hAnsi="Times New Roman"/>
          <w:color w:val="C45911" w:themeColor="accent2" w:themeShade="BF"/>
          <w:sz w:val="20"/>
          <w:szCs w:val="20"/>
        </w:rPr>
      </w:pPr>
      <w:r w:rsidRPr="001405DB">
        <w:rPr>
          <w:rFonts w:ascii="Times New Roman" w:hAnsi="Times New Roman"/>
          <w:color w:val="C45911" w:themeColor="accent2" w:themeShade="BF"/>
          <w:sz w:val="20"/>
          <w:szCs w:val="20"/>
        </w:rPr>
        <w:t>Contributions should focus on what can speed up activation in terms of measurements prior to activation and reporting.  The name of the state (e.g. dormant) should be out of the scope of this discussion.</w:t>
      </w:r>
    </w:p>
    <w:p w14:paraId="0B5EB74E" w14:textId="77777777" w:rsidR="00037D31" w:rsidRPr="001405DB" w:rsidRDefault="00037D31" w:rsidP="001405DB">
      <w:pPr>
        <w:pStyle w:val="Comments"/>
        <w:spacing w:before="0" w:after="200"/>
        <w:rPr>
          <w:rFonts w:ascii="Times New Roman" w:hAnsi="Times New Roman"/>
          <w:color w:val="C45911" w:themeColor="accent2" w:themeShade="BF"/>
          <w:sz w:val="20"/>
          <w:szCs w:val="20"/>
        </w:rPr>
      </w:pPr>
      <w:r w:rsidRPr="001405DB">
        <w:rPr>
          <w:rFonts w:ascii="Times New Roman" w:hAnsi="Times New Roman"/>
          <w:color w:val="C45911" w:themeColor="accent2" w:themeShade="BF"/>
          <w:sz w:val="20"/>
          <w:szCs w:val="20"/>
        </w:rPr>
        <w:t>NOTE: Power saving enhancements related to when/after SCell is activated are in the scope of AI 11.11.4.3</w:t>
      </w:r>
    </w:p>
    <w:p w14:paraId="397BC9E9" w14:textId="43311DB8" w:rsidR="00037D31" w:rsidRDefault="001405DB" w:rsidP="003D3B0D">
      <w:pPr>
        <w:rPr>
          <w:lang w:val="en-GB" w:eastAsia="zh-CN"/>
        </w:rPr>
      </w:pPr>
      <w:r>
        <w:rPr>
          <w:lang w:val="en-GB" w:eastAsia="zh-CN"/>
        </w:rPr>
        <w:t xml:space="preserve">In this contribution </w:t>
      </w:r>
      <w:r w:rsidR="0039103F">
        <w:rPr>
          <w:lang w:val="en-GB" w:eastAsia="zh-CN"/>
        </w:rPr>
        <w:t xml:space="preserve">a possible new SCell state is discussed. </w:t>
      </w:r>
    </w:p>
    <w:p w14:paraId="6F8A1D5D" w14:textId="77777777" w:rsidR="004D10CC" w:rsidRDefault="004D10CC" w:rsidP="004D10CC">
      <w:pPr>
        <w:pStyle w:val="Heading1"/>
      </w:pPr>
      <w:bookmarkStart w:id="2" w:name="_Toc242573354"/>
      <w:r>
        <w:t>Background</w:t>
      </w:r>
    </w:p>
    <w:p w14:paraId="4CC32912" w14:textId="77777777" w:rsidR="00D15A37" w:rsidRPr="00F558CC" w:rsidRDefault="00D15A37" w:rsidP="00D15A37">
      <w:pPr>
        <w:rPr>
          <w:b/>
          <w:u w:val="single"/>
          <w:lang w:eastAsia="ko-KR"/>
        </w:rPr>
      </w:pPr>
      <w:r w:rsidRPr="00F558CC">
        <w:rPr>
          <w:b/>
          <w:u w:val="single"/>
          <w:lang w:eastAsia="ko-KR"/>
        </w:rPr>
        <w:t>NR</w:t>
      </w:r>
      <w:r>
        <w:rPr>
          <w:b/>
          <w:u w:val="single"/>
          <w:lang w:eastAsia="ko-KR"/>
        </w:rPr>
        <w:t>:</w:t>
      </w:r>
    </w:p>
    <w:p w14:paraId="760B8010" w14:textId="51C5CC00" w:rsidR="00D15A37" w:rsidRDefault="00D15A37" w:rsidP="00D15A37">
      <w:pPr>
        <w:rPr>
          <w:lang w:eastAsia="ko-KR"/>
        </w:rPr>
      </w:pPr>
      <w:r>
        <w:rPr>
          <w:lang w:eastAsia="ko-KR"/>
        </w:rPr>
        <w:t>When an</w:t>
      </w:r>
      <w:r w:rsidRPr="000B541D">
        <w:rPr>
          <w:lang w:eastAsia="ko-KR"/>
        </w:rPr>
        <w:t xml:space="preserve"> SCell</w:t>
      </w:r>
      <w:r>
        <w:rPr>
          <w:lang w:eastAsia="ko-KR"/>
        </w:rPr>
        <w:t xml:space="preserve"> is added via RRC signalling</w:t>
      </w:r>
      <w:r w:rsidRPr="000B541D">
        <w:rPr>
          <w:lang w:eastAsia="ko-KR"/>
        </w:rPr>
        <w:t xml:space="preserve">, the SCell is </w:t>
      </w:r>
      <w:r w:rsidRPr="003F60CC">
        <w:rPr>
          <w:i/>
          <w:lang w:eastAsia="ko-KR"/>
        </w:rPr>
        <w:t>deactivated</w:t>
      </w:r>
      <w:r>
        <w:rPr>
          <w:lang w:eastAsia="ko-KR"/>
        </w:rPr>
        <w:t xml:space="preserve">. The SCell can be </w:t>
      </w:r>
      <w:r w:rsidRPr="003F60CC">
        <w:rPr>
          <w:i/>
          <w:lang w:eastAsia="ko-KR"/>
        </w:rPr>
        <w:t>activated</w:t>
      </w:r>
      <w:r>
        <w:rPr>
          <w:lang w:eastAsia="ko-KR"/>
        </w:rPr>
        <w:t>/</w:t>
      </w:r>
      <w:r w:rsidRPr="003F60CC">
        <w:rPr>
          <w:i/>
          <w:lang w:eastAsia="ko-KR"/>
        </w:rPr>
        <w:t>deactivated</w:t>
      </w:r>
      <w:r>
        <w:rPr>
          <w:lang w:eastAsia="ko-KR"/>
        </w:rPr>
        <w:t xml:space="preserve"> through </w:t>
      </w:r>
      <w:r w:rsidRPr="000B541D">
        <w:t xml:space="preserve">Activation/Deactivation MAC </w:t>
      </w:r>
      <w:r w:rsidRPr="000B541D">
        <w:rPr>
          <w:lang w:eastAsia="ko-KR"/>
        </w:rPr>
        <w:t>CE</w:t>
      </w:r>
      <w:r>
        <w:rPr>
          <w:lang w:eastAsia="ko-KR"/>
        </w:rPr>
        <w:t xml:space="preserve"> signaling or upon expiration of the </w:t>
      </w:r>
      <w:r w:rsidRPr="000B541D">
        <w:rPr>
          <w:i/>
          <w:lang w:eastAsia="ko-KR"/>
        </w:rPr>
        <w:t>sCellDeactivationTimer</w:t>
      </w:r>
      <w:r w:rsidRPr="000B541D">
        <w:rPr>
          <w:lang w:eastAsia="ko-KR"/>
        </w:rPr>
        <w:t xml:space="preserve"> timer</w:t>
      </w:r>
      <w:r>
        <w:rPr>
          <w:lang w:eastAsia="ko-KR"/>
        </w:rPr>
        <w:t xml:space="preserve">. </w:t>
      </w:r>
    </w:p>
    <w:p w14:paraId="2C300BA5" w14:textId="312921B9" w:rsidR="00353A2E" w:rsidRDefault="00E44DF7" w:rsidP="00D15A37">
      <w:pPr>
        <w:rPr>
          <w:lang w:eastAsia="ko-KR"/>
        </w:rPr>
      </w:pPr>
      <w:r>
        <w:rPr>
          <w:lang w:eastAsia="ko-KR"/>
        </w:rPr>
        <w:t xml:space="preserve">For REL-16 it has been agreed that SCells (MCG or SCG) can be activated or </w:t>
      </w:r>
      <w:r w:rsidR="00BA286C">
        <w:rPr>
          <w:lang w:eastAsia="ko-KR"/>
        </w:rPr>
        <w:t>deactivated upon RRC configuration. Further</w:t>
      </w:r>
      <w:r w:rsidR="00F20A03">
        <w:rPr>
          <w:lang w:eastAsia="ko-KR"/>
        </w:rPr>
        <w:t xml:space="preserve"> signalling</w:t>
      </w:r>
      <w:r w:rsidR="00BA286C">
        <w:rPr>
          <w:lang w:eastAsia="ko-KR"/>
        </w:rPr>
        <w:t xml:space="preserve"> improvements </w:t>
      </w:r>
      <w:r w:rsidR="001A2607">
        <w:rPr>
          <w:lang w:eastAsia="ko-KR"/>
        </w:rPr>
        <w:t xml:space="preserve">to speed up and make the signalling more efficient </w:t>
      </w:r>
      <w:r w:rsidR="00BA286C">
        <w:rPr>
          <w:lang w:eastAsia="ko-KR"/>
        </w:rPr>
        <w:t xml:space="preserve">may </w:t>
      </w:r>
      <w:r w:rsidR="00F20A03">
        <w:rPr>
          <w:lang w:eastAsia="ko-KR"/>
        </w:rPr>
        <w:t xml:space="preserve">be </w:t>
      </w:r>
      <w:r w:rsidR="00BA286C">
        <w:rPr>
          <w:lang w:eastAsia="ko-KR"/>
        </w:rPr>
        <w:t>agree</w:t>
      </w:r>
      <w:r w:rsidR="00F20A03">
        <w:rPr>
          <w:lang w:eastAsia="ko-KR"/>
        </w:rPr>
        <w:t>d</w:t>
      </w:r>
      <w:r w:rsidR="00BA286C">
        <w:rPr>
          <w:lang w:eastAsia="ko-KR"/>
        </w:rPr>
        <w:t xml:space="preserve"> in the CA/DC work item</w:t>
      </w:r>
      <w:r w:rsidR="00F20A03">
        <w:rPr>
          <w:lang w:eastAsia="ko-KR"/>
        </w:rPr>
        <w:t xml:space="preserve"> in REL-16</w:t>
      </w:r>
      <w:r w:rsidR="00BA286C">
        <w:rPr>
          <w:lang w:eastAsia="ko-KR"/>
        </w:rPr>
        <w:t xml:space="preserve"> (</w:t>
      </w:r>
      <w:hyperlink r:id="rId7" w:history="1">
        <w:r w:rsidR="00F20A03">
          <w:rPr>
            <w:rStyle w:val="Hyperlink"/>
            <w:lang w:eastAsia="ko-KR"/>
          </w:rPr>
          <w:t>RP-182076</w:t>
        </w:r>
      </w:hyperlink>
      <w:r w:rsidR="00BA286C">
        <w:rPr>
          <w:lang w:eastAsia="ko-KR"/>
        </w:rPr>
        <w:t>)</w:t>
      </w:r>
      <w:r w:rsidR="000D0D0D">
        <w:rPr>
          <w:lang w:eastAsia="ko-KR"/>
        </w:rPr>
        <w:t xml:space="preserve">. </w:t>
      </w:r>
    </w:p>
    <w:p w14:paraId="323CCE90" w14:textId="77777777" w:rsidR="00D15A37" w:rsidRDefault="00D15A37" w:rsidP="00D15A37">
      <w:pPr>
        <w:rPr>
          <w:lang w:eastAsia="ko-KR"/>
        </w:rPr>
      </w:pPr>
      <w:r>
        <w:rPr>
          <w:lang w:eastAsia="ko-KR"/>
        </w:rPr>
        <w:t xml:space="preserve">When the SCell is </w:t>
      </w:r>
      <w:r w:rsidRPr="003F60CC">
        <w:rPr>
          <w:i/>
          <w:lang w:eastAsia="ko-KR"/>
        </w:rPr>
        <w:t>deactivated</w:t>
      </w:r>
      <w:r>
        <w:rPr>
          <w:lang w:eastAsia="ko-KR"/>
        </w:rPr>
        <w:t xml:space="preserve"> the UE is not required to monitor PDCCH, not required to report CSI measurements and SRS, UL-SCH, RACH and PUCH transmissions are not supported. However the UE is required to measure and report RRM measurements according to the measurement object configured for the SCell.</w:t>
      </w:r>
    </w:p>
    <w:p w14:paraId="61CD41C1" w14:textId="77777777" w:rsidR="00D15A37" w:rsidRDefault="00D15A37" w:rsidP="00D15A37">
      <w:pPr>
        <w:rPr>
          <w:lang w:eastAsia="ko-KR"/>
        </w:rPr>
      </w:pPr>
      <w:r>
        <w:rPr>
          <w:lang w:eastAsia="ko-KR"/>
        </w:rPr>
        <w:t xml:space="preserve">In section 8.3 in 38.133 UE requirements for </w:t>
      </w:r>
      <w:r>
        <w:t>SCell activation and deactivation delay, i.e. the delay between</w:t>
      </w:r>
      <w:r w:rsidRPr="003445FB">
        <w:t xml:space="preserve"> receiving SCell activation command </w:t>
      </w:r>
      <w:r>
        <w:t>and transmission of</w:t>
      </w:r>
      <w:r w:rsidRPr="003445FB">
        <w:t xml:space="preserve"> valid CSI report</w:t>
      </w:r>
      <w:r>
        <w:t xml:space="preserve">, are specified. The activation delay depends on whether the cell is known (has been detected) or not, whether the cell is in FR1 or FR2, the </w:t>
      </w:r>
      <w:r w:rsidRPr="003445FB">
        <w:rPr>
          <w:lang w:eastAsia="zh-CN"/>
        </w:rPr>
        <w:t>SCell measurement cycle</w:t>
      </w:r>
      <w:r>
        <w:rPr>
          <w:lang w:eastAsia="zh-CN"/>
        </w:rPr>
        <w:t>, and the SMTC periodicity.</w:t>
      </w:r>
    </w:p>
    <w:p w14:paraId="1A6061FB" w14:textId="77777777" w:rsidR="00D15A37" w:rsidRPr="00F558CC" w:rsidRDefault="00D15A37" w:rsidP="00D15A37">
      <w:pPr>
        <w:rPr>
          <w:b/>
          <w:u w:val="single"/>
          <w:lang w:eastAsia="ko-KR"/>
        </w:rPr>
      </w:pPr>
      <w:r w:rsidRPr="00F558CC">
        <w:rPr>
          <w:b/>
          <w:u w:val="single"/>
          <w:lang w:eastAsia="ko-KR"/>
        </w:rPr>
        <w:t>LTE:</w:t>
      </w:r>
    </w:p>
    <w:p w14:paraId="7E9B9DFD" w14:textId="5940407D" w:rsidR="00D15A37" w:rsidRDefault="00D15A37" w:rsidP="00D15A37">
      <w:pPr>
        <w:rPr>
          <w:lang w:eastAsia="ko-KR"/>
        </w:rPr>
      </w:pPr>
      <w:r>
        <w:rPr>
          <w:lang w:eastAsia="ko-KR"/>
        </w:rPr>
        <w:t xml:space="preserve">In LTE an SCell can be </w:t>
      </w:r>
      <w:r w:rsidRPr="00C54E26">
        <w:rPr>
          <w:i/>
          <w:lang w:eastAsia="ko-KR"/>
        </w:rPr>
        <w:t>activated</w:t>
      </w:r>
      <w:r>
        <w:rPr>
          <w:lang w:eastAsia="ko-KR"/>
        </w:rPr>
        <w:t xml:space="preserve"> or put into </w:t>
      </w:r>
      <w:r w:rsidRPr="00C54E26">
        <w:rPr>
          <w:i/>
          <w:lang w:eastAsia="ko-KR"/>
        </w:rPr>
        <w:t>dormant</w:t>
      </w:r>
      <w:r>
        <w:rPr>
          <w:lang w:eastAsia="ko-KR"/>
        </w:rPr>
        <w:t xml:space="preserve"> state immediately upon configuration. In </w:t>
      </w:r>
      <w:r w:rsidRPr="003F60CC">
        <w:rPr>
          <w:i/>
          <w:lang w:eastAsia="ko-KR"/>
        </w:rPr>
        <w:t>dormant</w:t>
      </w:r>
      <w:r>
        <w:rPr>
          <w:lang w:eastAsia="ko-KR"/>
        </w:rPr>
        <w:t xml:space="preserve"> state [</w:t>
      </w:r>
      <w:r w:rsidR="006F0FF8">
        <w:rPr>
          <w:lang w:eastAsia="ko-KR"/>
        </w:rPr>
        <w:t>9</w:t>
      </w:r>
      <w:r>
        <w:rPr>
          <w:lang w:eastAsia="ko-KR"/>
        </w:rPr>
        <w:t xml:space="preserve">] the UE is not required to monitor PDCCH, similar as in </w:t>
      </w:r>
      <w:r w:rsidRPr="003F60CC">
        <w:rPr>
          <w:i/>
          <w:lang w:eastAsia="ko-KR"/>
        </w:rPr>
        <w:t>deactivated</w:t>
      </w:r>
      <w:r>
        <w:rPr>
          <w:lang w:eastAsia="ko-KR"/>
        </w:rPr>
        <w:t xml:space="preserve"> state, but the UE is required to measure and report RRM and CQI. The UE can be configured with a </w:t>
      </w:r>
      <w:r>
        <w:rPr>
          <w:noProof/>
        </w:rPr>
        <w:t>(short) CQI reporting cycle</w:t>
      </w:r>
      <w:r>
        <w:rPr>
          <w:lang w:eastAsia="ko-KR"/>
        </w:rPr>
        <w:t xml:space="preserve">, to </w:t>
      </w:r>
      <w:r>
        <w:rPr>
          <w:lang w:eastAsia="ko-KR"/>
        </w:rPr>
        <w:lastRenderedPageBreak/>
        <w:t xml:space="preserve">enable a faster transition to </w:t>
      </w:r>
      <w:r w:rsidRPr="000F1E9C">
        <w:rPr>
          <w:i/>
          <w:lang w:eastAsia="ko-KR"/>
        </w:rPr>
        <w:t>activated</w:t>
      </w:r>
      <w:r>
        <w:rPr>
          <w:lang w:eastAsia="ko-KR"/>
        </w:rPr>
        <w:t xml:space="preserve"> state compared to coming from </w:t>
      </w:r>
      <w:r w:rsidRPr="000F1E9C">
        <w:rPr>
          <w:i/>
          <w:lang w:eastAsia="ko-KR"/>
        </w:rPr>
        <w:t>deactivated</w:t>
      </w:r>
      <w:r>
        <w:rPr>
          <w:lang w:eastAsia="ko-KR"/>
        </w:rPr>
        <w:t xml:space="preserve"> state. The </w:t>
      </w:r>
      <w:r w:rsidRPr="00AC654F">
        <w:rPr>
          <w:i/>
          <w:lang w:eastAsia="ko-KR"/>
        </w:rPr>
        <w:t>dormant</w:t>
      </w:r>
      <w:r>
        <w:rPr>
          <w:lang w:eastAsia="ko-KR"/>
        </w:rPr>
        <w:t xml:space="preserve"> SCell state is more power consuming than </w:t>
      </w:r>
      <w:r w:rsidR="00645682">
        <w:rPr>
          <w:lang w:eastAsia="ko-KR"/>
        </w:rPr>
        <w:t xml:space="preserve">a </w:t>
      </w:r>
      <w:r w:rsidR="00645682" w:rsidRPr="00645682">
        <w:rPr>
          <w:i/>
          <w:lang w:eastAsia="ko-KR"/>
        </w:rPr>
        <w:t>deactivated</w:t>
      </w:r>
      <w:r>
        <w:rPr>
          <w:lang w:eastAsia="ko-KR"/>
        </w:rPr>
        <w:t xml:space="preserve"> SCell, but it allows a faster activation. </w:t>
      </w:r>
    </w:p>
    <w:p w14:paraId="330901E0" w14:textId="77777777" w:rsidR="00D15A37" w:rsidRDefault="00D15A37" w:rsidP="00D15A37">
      <w:pPr>
        <w:rPr>
          <w:lang w:val="en-GB"/>
        </w:rPr>
      </w:pPr>
      <w:r>
        <w:rPr>
          <w:lang w:eastAsia="ko-KR"/>
        </w:rPr>
        <w:t xml:space="preserve">The UE can also be configured to perform measurements in Idle mode for CA with </w:t>
      </w:r>
      <w:proofErr w:type="spellStart"/>
      <w:r w:rsidRPr="00B94F92">
        <w:rPr>
          <w:i/>
          <w:lang w:eastAsia="ko-KR"/>
        </w:rPr>
        <w:t>measIdleConfig</w:t>
      </w:r>
      <w:proofErr w:type="spellEnd"/>
      <w:r>
        <w:rPr>
          <w:lang w:eastAsia="ko-KR"/>
        </w:rPr>
        <w:t xml:space="preserve"> IE in the </w:t>
      </w:r>
      <w:proofErr w:type="spellStart"/>
      <w:r w:rsidRPr="008B6137">
        <w:rPr>
          <w:i/>
          <w:lang w:eastAsia="ko-KR"/>
        </w:rPr>
        <w:t>RRCConnectionRelease</w:t>
      </w:r>
      <w:proofErr w:type="spellEnd"/>
      <w:r w:rsidRPr="008B6137">
        <w:rPr>
          <w:lang w:eastAsia="ko-KR"/>
        </w:rPr>
        <w:t xml:space="preserve"> message</w:t>
      </w:r>
      <w:r>
        <w:rPr>
          <w:lang w:eastAsia="ko-KR"/>
        </w:rPr>
        <w:t xml:space="preserve"> for a certain time indicated by T331. The UE can indicate available Idle mode measurements during connection setup with </w:t>
      </w:r>
      <w:proofErr w:type="spellStart"/>
      <w:r w:rsidRPr="00D02697">
        <w:rPr>
          <w:i/>
          <w:lang w:eastAsia="ko-KR"/>
        </w:rPr>
        <w:t>idleMeasAvailable</w:t>
      </w:r>
      <w:proofErr w:type="spellEnd"/>
      <w:r>
        <w:rPr>
          <w:lang w:eastAsia="ko-KR"/>
        </w:rPr>
        <w:t xml:space="preserve"> IE, and the NW can retrieve the available measurements via </w:t>
      </w:r>
      <w:proofErr w:type="spellStart"/>
      <w:r w:rsidRPr="00CC7909">
        <w:rPr>
          <w:i/>
          <w:iCs/>
          <w:lang w:val="en-GB"/>
        </w:rPr>
        <w:t>UEI</w:t>
      </w:r>
      <w:r w:rsidRPr="00CC7909">
        <w:rPr>
          <w:i/>
          <w:lang w:val="en-GB"/>
        </w:rPr>
        <w:t>nformationRequest</w:t>
      </w:r>
      <w:proofErr w:type="spellEnd"/>
      <w:r w:rsidRPr="00CC7909">
        <w:rPr>
          <w:i/>
          <w:lang w:val="en-GB" w:eastAsia="zh-CN"/>
        </w:rPr>
        <w:t xml:space="preserve"> </w:t>
      </w:r>
      <w:r w:rsidRPr="00CC7909">
        <w:rPr>
          <w:lang w:val="en-GB"/>
        </w:rPr>
        <w:t>message</w:t>
      </w:r>
      <w:r>
        <w:rPr>
          <w:lang w:val="en-GB"/>
        </w:rPr>
        <w:t>.</w:t>
      </w:r>
    </w:p>
    <w:p w14:paraId="19E95B44" w14:textId="4144B2F7" w:rsidR="00D15A37" w:rsidRDefault="00D15A37" w:rsidP="00D15A37">
      <w:pPr>
        <w:pStyle w:val="Heading1"/>
      </w:pPr>
      <w:r>
        <w:t>Discussion</w:t>
      </w:r>
    </w:p>
    <w:p w14:paraId="03928B2C" w14:textId="5BC227E3" w:rsidR="00026C91" w:rsidRDefault="00574D7F" w:rsidP="00026C91">
      <w:pPr>
        <w:rPr>
          <w:lang w:val="en-GB" w:eastAsia="zh-CN"/>
        </w:rPr>
      </w:pPr>
      <w:r>
        <w:rPr>
          <w:lang w:val="en-GB" w:eastAsia="zh-CN"/>
        </w:rPr>
        <w:t xml:space="preserve">From a power consumption perspective it may be beneficial to configure </w:t>
      </w:r>
      <w:proofErr w:type="gramStart"/>
      <w:r>
        <w:rPr>
          <w:lang w:val="en-GB" w:eastAsia="zh-CN"/>
        </w:rPr>
        <w:t xml:space="preserve">a </w:t>
      </w:r>
      <w:r w:rsidR="00D232F5">
        <w:rPr>
          <w:lang w:val="en-GB" w:eastAsia="zh-CN"/>
        </w:rPr>
        <w:t>number of</w:t>
      </w:r>
      <w:proofErr w:type="gramEnd"/>
      <w:r w:rsidR="00D232F5">
        <w:rPr>
          <w:lang w:val="en-GB" w:eastAsia="zh-CN"/>
        </w:rPr>
        <w:t xml:space="preserve"> SCell during connection setup (</w:t>
      </w:r>
      <w:proofErr w:type="spellStart"/>
      <w:r w:rsidR="00D232F5" w:rsidRPr="00D232F5">
        <w:rPr>
          <w:i/>
          <w:lang w:val="en-GB" w:eastAsia="zh-CN"/>
        </w:rPr>
        <w:t>RRCResumeRequest</w:t>
      </w:r>
      <w:proofErr w:type="spellEnd"/>
      <w:r w:rsidR="00D232F5">
        <w:rPr>
          <w:lang w:val="en-GB" w:eastAsia="zh-CN"/>
        </w:rPr>
        <w:t xml:space="preserve">), but not require the UE to measure to perform any measurements </w:t>
      </w:r>
      <w:r w:rsidR="003A3A0E">
        <w:rPr>
          <w:lang w:val="en-GB" w:eastAsia="zh-CN"/>
        </w:rPr>
        <w:t xml:space="preserve">(no RRM measurements and no CSI-RS measurements) </w:t>
      </w:r>
      <w:r w:rsidR="00D232F5">
        <w:rPr>
          <w:lang w:val="en-GB" w:eastAsia="zh-CN"/>
        </w:rPr>
        <w:t xml:space="preserve">on </w:t>
      </w:r>
      <w:r w:rsidR="005C7318">
        <w:rPr>
          <w:lang w:val="en-GB" w:eastAsia="zh-CN"/>
        </w:rPr>
        <w:t>the configure</w:t>
      </w:r>
      <w:r w:rsidR="003A3A0E">
        <w:rPr>
          <w:lang w:val="en-GB" w:eastAsia="zh-CN"/>
        </w:rPr>
        <w:t>d</w:t>
      </w:r>
      <w:r w:rsidR="005C7318">
        <w:rPr>
          <w:lang w:val="en-GB" w:eastAsia="zh-CN"/>
        </w:rPr>
        <w:t xml:space="preserve"> SCells. In REL-15 the SCells would be </w:t>
      </w:r>
      <w:r w:rsidR="005C7318" w:rsidRPr="005C7318">
        <w:rPr>
          <w:i/>
          <w:lang w:val="en-GB" w:eastAsia="zh-CN"/>
        </w:rPr>
        <w:t>deactivated</w:t>
      </w:r>
      <w:r w:rsidR="005C7318">
        <w:rPr>
          <w:lang w:val="en-GB" w:eastAsia="zh-CN"/>
        </w:rPr>
        <w:t xml:space="preserve"> after RRC configuration, but the UE would be required to perform RRM measurements on these cells. </w:t>
      </w:r>
    </w:p>
    <w:p w14:paraId="428103E9" w14:textId="743C2AF0" w:rsidR="00081C7D" w:rsidRPr="00026C91" w:rsidRDefault="00C40B91" w:rsidP="00026C91">
      <w:pPr>
        <w:rPr>
          <w:lang w:val="en-GB" w:eastAsia="zh-CN"/>
        </w:rPr>
      </w:pPr>
      <w:r>
        <w:rPr>
          <w:lang w:val="en-GB" w:eastAsia="zh-CN"/>
        </w:rPr>
        <w:t xml:space="preserve">In LTE there is the dormant state, where the UE is not </w:t>
      </w:r>
      <w:r w:rsidR="002D2D10">
        <w:rPr>
          <w:lang w:val="en-GB" w:eastAsia="zh-CN"/>
        </w:rPr>
        <w:t xml:space="preserve">required to monitor </w:t>
      </w:r>
      <w:r w:rsidR="002D2D10">
        <w:rPr>
          <w:lang w:eastAsia="ko-KR"/>
        </w:rPr>
        <w:t xml:space="preserve">PDCCH, but the UE </w:t>
      </w:r>
      <w:r w:rsidR="000D5115">
        <w:rPr>
          <w:lang w:eastAsia="ko-KR"/>
        </w:rPr>
        <w:t>can be configured to report CSI-RS measurements</w:t>
      </w:r>
      <w:r w:rsidR="002D2D10">
        <w:rPr>
          <w:lang w:eastAsia="ko-KR"/>
        </w:rPr>
        <w:t>.</w:t>
      </w:r>
      <w:r w:rsidR="000D5115">
        <w:rPr>
          <w:lang w:eastAsia="ko-KR"/>
        </w:rPr>
        <w:t xml:space="preserve"> </w:t>
      </w:r>
      <w:r w:rsidR="00DB403B">
        <w:rPr>
          <w:lang w:eastAsia="ko-KR"/>
        </w:rPr>
        <w:t xml:space="preserve">Based on the CSI-RS measurements the NW can decide if the cell is suitable to be activated. In this contribution it is assumed that </w:t>
      </w:r>
      <w:r w:rsidR="005A0475">
        <w:rPr>
          <w:lang w:eastAsia="ko-KR"/>
        </w:rPr>
        <w:t xml:space="preserve">the NW may be able to correctly activate SCell based on measurements available in the gNB </w:t>
      </w:r>
      <w:r w:rsidR="007A7B91">
        <w:rPr>
          <w:lang w:eastAsia="ko-KR"/>
        </w:rPr>
        <w:t xml:space="preserve">(e.g. </w:t>
      </w:r>
      <w:r w:rsidR="007A7B91">
        <w:rPr>
          <w:lang w:val="en-GB" w:eastAsia="zh-CN"/>
        </w:rPr>
        <w:t xml:space="preserve">measurement reporting from the </w:t>
      </w:r>
      <w:proofErr w:type="spellStart"/>
      <w:r w:rsidR="007A7B91">
        <w:rPr>
          <w:lang w:val="en-GB" w:eastAsia="zh-CN"/>
        </w:rPr>
        <w:t>PCell</w:t>
      </w:r>
      <w:proofErr w:type="spellEnd"/>
      <w:r w:rsidR="007A7B91">
        <w:rPr>
          <w:lang w:val="en-GB" w:eastAsia="zh-CN"/>
        </w:rPr>
        <w:t>/</w:t>
      </w:r>
      <w:proofErr w:type="spellStart"/>
      <w:r w:rsidR="007A7B91">
        <w:rPr>
          <w:lang w:val="en-GB" w:eastAsia="zh-CN"/>
        </w:rPr>
        <w:t>SpCell</w:t>
      </w:r>
      <w:proofErr w:type="spellEnd"/>
      <w:r w:rsidR="007A7B91">
        <w:rPr>
          <w:lang w:val="en-GB" w:eastAsia="zh-CN"/>
        </w:rPr>
        <w:t xml:space="preserve"> on adjacent frequencies, or measurements reported from other UEs in proximity of the UE on other frequencies</w:t>
      </w:r>
      <w:r w:rsidR="007A7B91">
        <w:rPr>
          <w:lang w:eastAsia="ko-KR"/>
        </w:rPr>
        <w:t>)</w:t>
      </w:r>
      <w:r w:rsidR="00B8078F">
        <w:rPr>
          <w:lang w:eastAsia="ko-KR"/>
        </w:rPr>
        <w:t xml:space="preserve">, i.e. the gNB does not strictly rely on the CSI-RS reporting from the UE. </w:t>
      </w:r>
      <w:r w:rsidR="00505418">
        <w:rPr>
          <w:lang w:eastAsia="ko-KR"/>
        </w:rPr>
        <w:t xml:space="preserve">The focus is to avoid measurements on SCells when not needed. </w:t>
      </w:r>
      <w:r w:rsidR="0079015D">
        <w:rPr>
          <w:lang w:eastAsia="ko-KR"/>
        </w:rPr>
        <w:t xml:space="preserve">When the SCell are configured during </w:t>
      </w:r>
      <w:r w:rsidR="0079015D">
        <w:rPr>
          <w:lang w:val="en-GB" w:eastAsia="zh-CN"/>
        </w:rPr>
        <w:t xml:space="preserve">during connection setup RRC reconfiguration can be avoided to activate SCell later during the connection, but L2 (or L1) signalling can be used to activate the SCell </w:t>
      </w:r>
      <w:r w:rsidR="000A0538">
        <w:rPr>
          <w:lang w:val="en-GB" w:eastAsia="zh-CN"/>
        </w:rPr>
        <w:t>that have been configured via RRC:</w:t>
      </w:r>
    </w:p>
    <w:p w14:paraId="6F727475" w14:textId="77777777" w:rsidR="00D15A37" w:rsidRDefault="00D15A37" w:rsidP="00D15A37">
      <w:pPr>
        <w:rPr>
          <w:lang w:val="en-GB" w:eastAsia="zh-CN"/>
        </w:rPr>
      </w:pPr>
      <w:r>
        <w:rPr>
          <w:noProof/>
        </w:rPr>
        <w:drawing>
          <wp:inline distT="0" distB="0" distL="0" distR="0" wp14:anchorId="5CAA5182" wp14:editId="0D05C537">
            <wp:extent cx="4495800" cy="1905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2500" t="35897" r="11859" b="12821"/>
                    <a:stretch/>
                  </pic:blipFill>
                  <pic:spPr bwMode="auto">
                    <a:xfrm>
                      <a:off x="0" y="0"/>
                      <a:ext cx="4495800" cy="1905000"/>
                    </a:xfrm>
                    <a:prstGeom prst="rect">
                      <a:avLst/>
                    </a:prstGeom>
                    <a:ln>
                      <a:noFill/>
                    </a:ln>
                    <a:extLst>
                      <a:ext uri="{53640926-AAD7-44D8-BBD7-CCE9431645EC}">
                        <a14:shadowObscured xmlns:a14="http://schemas.microsoft.com/office/drawing/2010/main"/>
                      </a:ext>
                    </a:extLst>
                  </pic:spPr>
                </pic:pic>
              </a:graphicData>
            </a:graphic>
          </wp:inline>
        </w:drawing>
      </w:r>
    </w:p>
    <w:p w14:paraId="14EA9B7A" w14:textId="756A29F4" w:rsidR="00D15A37" w:rsidRDefault="00D15A37" w:rsidP="00D15A37">
      <w:pPr>
        <w:rPr>
          <w:lang w:val="en-GB" w:eastAsia="zh-CN"/>
        </w:rPr>
      </w:pPr>
      <w:r w:rsidRPr="007A5FE6">
        <w:rPr>
          <w:b/>
          <w:lang w:val="en-GB" w:eastAsia="zh-CN"/>
        </w:rPr>
        <w:t xml:space="preserve">Proposal </w:t>
      </w:r>
      <w:r w:rsidR="007B30BC">
        <w:rPr>
          <w:b/>
          <w:lang w:val="en-GB" w:eastAsia="zh-CN"/>
        </w:rPr>
        <w:t>1</w:t>
      </w:r>
      <w:r>
        <w:rPr>
          <w:lang w:val="en-GB" w:eastAsia="zh-CN"/>
        </w:rPr>
        <w:t xml:space="preserve">: RAN2 to evaluate the benefit of a new </w:t>
      </w:r>
      <w:r w:rsidRPr="00A14C12">
        <w:rPr>
          <w:b/>
          <w:lang w:val="en-GB" w:eastAsia="zh-CN"/>
        </w:rPr>
        <w:t>latent</w:t>
      </w:r>
      <w:r>
        <w:rPr>
          <w:lang w:val="en-GB" w:eastAsia="zh-CN"/>
        </w:rPr>
        <w:t xml:space="preserve"> SCell state in which the SCell is only configured via RRC, but the UE is not required to perform any measurements. </w:t>
      </w:r>
    </w:p>
    <w:p w14:paraId="04D85A80" w14:textId="70FDA737" w:rsidR="000A0538" w:rsidRDefault="00513721" w:rsidP="00D15A37">
      <w:pPr>
        <w:rPr>
          <w:lang w:val="en-GB" w:eastAsia="zh-CN"/>
        </w:rPr>
      </w:pPr>
      <w:r>
        <w:rPr>
          <w:lang w:val="en-GB" w:eastAsia="zh-CN"/>
        </w:rPr>
        <w:t xml:space="preserve">In this view, the SCell change between being only configured via RRC signalling, and activated via L2 (or L1) signalling. </w:t>
      </w:r>
    </w:p>
    <w:p w14:paraId="54628501" w14:textId="308B8230" w:rsidR="00D15A37" w:rsidRDefault="00213F7F" w:rsidP="00D15A37">
      <w:pPr>
        <w:rPr>
          <w:lang w:val="en-GB" w:eastAsia="zh-CN"/>
        </w:rPr>
      </w:pPr>
      <w:r>
        <w:rPr>
          <w:noProof/>
          <w:lang w:val="en-GB" w:eastAsia="zh-CN"/>
        </w:rPr>
        <w:lastRenderedPageBreak/>
        <w:drawing>
          <wp:inline distT="0" distB="0" distL="0" distR="0" wp14:anchorId="25E6ADAC" wp14:editId="321B2EEC">
            <wp:extent cx="5943600" cy="21672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tent SCell.png"/>
                    <pic:cNvPicPr/>
                  </pic:nvPicPr>
                  <pic:blipFill>
                    <a:blip r:embed="rId9">
                      <a:extLst>
                        <a:ext uri="{28A0092B-C50C-407E-A947-70E740481C1C}">
                          <a14:useLocalDpi xmlns:a14="http://schemas.microsoft.com/office/drawing/2010/main" val="0"/>
                        </a:ext>
                      </a:extLst>
                    </a:blip>
                    <a:stretch>
                      <a:fillRect/>
                    </a:stretch>
                  </pic:blipFill>
                  <pic:spPr>
                    <a:xfrm>
                      <a:off x="0" y="0"/>
                      <a:ext cx="5943600" cy="2167255"/>
                    </a:xfrm>
                    <a:prstGeom prst="rect">
                      <a:avLst/>
                    </a:prstGeom>
                  </pic:spPr>
                </pic:pic>
              </a:graphicData>
            </a:graphic>
          </wp:inline>
        </w:drawing>
      </w:r>
    </w:p>
    <w:p w14:paraId="62955E63" w14:textId="77777777" w:rsidR="00D15A37" w:rsidRDefault="00D15A37" w:rsidP="00D15A37">
      <w:pPr>
        <w:pStyle w:val="Heading1"/>
        <w:jc w:val="both"/>
      </w:pPr>
      <w:r>
        <w:t>Summary</w:t>
      </w:r>
    </w:p>
    <w:p w14:paraId="1752F2CE" w14:textId="3050EB28" w:rsidR="00D15A37" w:rsidRDefault="00D15A37" w:rsidP="00D15A37">
      <w:r w:rsidRPr="00886E79">
        <w:t xml:space="preserve">RAN2 is kindly asked to discuss </w:t>
      </w:r>
      <w:r w:rsidR="007B30BC">
        <w:t>a new SCell state</w:t>
      </w:r>
      <w:r w:rsidRPr="00886E79">
        <w:t>:</w:t>
      </w:r>
      <w:r>
        <w:t xml:space="preserve"> </w:t>
      </w:r>
    </w:p>
    <w:p w14:paraId="6F8B723C" w14:textId="77777777" w:rsidR="007B30BC" w:rsidRDefault="007B30BC" w:rsidP="007B30BC">
      <w:pPr>
        <w:rPr>
          <w:lang w:val="en-GB" w:eastAsia="zh-CN"/>
        </w:rPr>
      </w:pPr>
      <w:r w:rsidRPr="007A5FE6">
        <w:rPr>
          <w:b/>
          <w:lang w:val="en-GB" w:eastAsia="zh-CN"/>
        </w:rPr>
        <w:t xml:space="preserve">Proposal </w:t>
      </w:r>
      <w:r>
        <w:rPr>
          <w:b/>
          <w:lang w:val="en-GB" w:eastAsia="zh-CN"/>
        </w:rPr>
        <w:t>1</w:t>
      </w:r>
      <w:r>
        <w:rPr>
          <w:lang w:val="en-GB" w:eastAsia="zh-CN"/>
        </w:rPr>
        <w:t xml:space="preserve">: RAN2 to evaluate the benefit of a new </w:t>
      </w:r>
      <w:r w:rsidRPr="00A14C12">
        <w:rPr>
          <w:b/>
          <w:lang w:val="en-GB" w:eastAsia="zh-CN"/>
        </w:rPr>
        <w:t>latent</w:t>
      </w:r>
      <w:r>
        <w:rPr>
          <w:lang w:val="en-GB" w:eastAsia="zh-CN"/>
        </w:rPr>
        <w:t xml:space="preserve"> SCell state in which the SCell is only configured via RRC, but the UE is not required to perform any measurements. </w:t>
      </w:r>
    </w:p>
    <w:p w14:paraId="5A15FD36" w14:textId="77777777" w:rsidR="009D725A" w:rsidRDefault="009D725A" w:rsidP="009D725A">
      <w:pPr>
        <w:pStyle w:val="Heading1"/>
        <w:rPr>
          <w:noProof/>
        </w:rPr>
      </w:pPr>
      <w:bookmarkStart w:id="3" w:name="_Toc242573361"/>
      <w:bookmarkEnd w:id="2"/>
      <w:r>
        <w:rPr>
          <w:noProof/>
        </w:rPr>
        <w:t>References</w:t>
      </w:r>
      <w:bookmarkEnd w:id="3"/>
    </w:p>
    <w:p w14:paraId="48D06552" w14:textId="5921A383" w:rsidR="00B27061" w:rsidRPr="00C0612A" w:rsidRDefault="00477704" w:rsidP="00C0612A">
      <w:pPr>
        <w:numPr>
          <w:ilvl w:val="0"/>
          <w:numId w:val="1"/>
        </w:numPr>
        <w:spacing w:after="60"/>
        <w:rPr>
          <w:rFonts w:cs="Arial"/>
          <w:sz w:val="16"/>
          <w:szCs w:val="16"/>
          <w:lang w:val="en-GB" w:eastAsia="zh-CN"/>
        </w:rPr>
      </w:pPr>
      <w:hyperlink r:id="rId10" w:history="1">
        <w:r w:rsidR="00B27061" w:rsidRPr="00C0612A">
          <w:rPr>
            <w:rStyle w:val="Hyperlink"/>
            <w:rFonts w:cs="Arial"/>
            <w:sz w:val="16"/>
            <w:szCs w:val="16"/>
            <w:lang w:val="en-GB" w:eastAsia="zh-CN"/>
          </w:rPr>
          <w:t>R2-1901017</w:t>
        </w:r>
      </w:hyperlink>
      <w:r w:rsidR="00877C7E">
        <w:rPr>
          <w:rFonts w:cs="Arial"/>
          <w:sz w:val="16"/>
          <w:szCs w:val="16"/>
          <w:lang w:val="en-GB" w:eastAsia="zh-CN"/>
        </w:rPr>
        <w:t xml:space="preserve">, </w:t>
      </w:r>
      <w:r w:rsidR="00B27061" w:rsidRPr="003D3B0D">
        <w:rPr>
          <w:rFonts w:cs="Arial"/>
          <w:i/>
          <w:sz w:val="16"/>
          <w:szCs w:val="16"/>
          <w:lang w:val="en-GB" w:eastAsia="zh-CN"/>
        </w:rPr>
        <w:t>Support of dormant state for SCell in NR</w:t>
      </w:r>
      <w:r w:rsidR="00B27061" w:rsidRPr="00C0612A">
        <w:rPr>
          <w:rFonts w:cs="Arial"/>
          <w:sz w:val="16"/>
          <w:szCs w:val="16"/>
          <w:lang w:val="en-GB" w:eastAsia="zh-CN"/>
        </w:rPr>
        <w:t>, Samsung, DISC</w:t>
      </w:r>
    </w:p>
    <w:p w14:paraId="7DCBDFDD" w14:textId="7A8ABA38" w:rsidR="00B27061" w:rsidRPr="00C0612A" w:rsidRDefault="00477704" w:rsidP="00C0612A">
      <w:pPr>
        <w:numPr>
          <w:ilvl w:val="0"/>
          <w:numId w:val="1"/>
        </w:numPr>
        <w:spacing w:after="60"/>
        <w:rPr>
          <w:rFonts w:cs="Arial"/>
          <w:sz w:val="16"/>
          <w:szCs w:val="16"/>
          <w:lang w:val="en-GB" w:eastAsia="zh-CN"/>
        </w:rPr>
      </w:pPr>
      <w:hyperlink r:id="rId11" w:history="1">
        <w:r w:rsidR="00B27061" w:rsidRPr="00C0612A">
          <w:rPr>
            <w:rStyle w:val="Hyperlink"/>
            <w:rFonts w:cs="Arial"/>
            <w:sz w:val="16"/>
            <w:szCs w:val="16"/>
            <w:lang w:val="en-GB" w:eastAsia="zh-CN"/>
          </w:rPr>
          <w:t>R2-1900803</w:t>
        </w:r>
      </w:hyperlink>
      <w:r w:rsidR="003D3B0D">
        <w:rPr>
          <w:rFonts w:cs="Arial"/>
          <w:sz w:val="16"/>
          <w:szCs w:val="16"/>
          <w:lang w:val="en-GB" w:eastAsia="zh-CN"/>
        </w:rPr>
        <w:t xml:space="preserve">, </w:t>
      </w:r>
      <w:r w:rsidR="00B27061" w:rsidRPr="003D3B0D">
        <w:rPr>
          <w:rFonts w:cs="Arial"/>
          <w:i/>
          <w:sz w:val="16"/>
          <w:szCs w:val="16"/>
          <w:lang w:val="en-GB" w:eastAsia="zh-CN"/>
        </w:rPr>
        <w:t xml:space="preserve">Dormant state for </w:t>
      </w:r>
      <w:proofErr w:type="spellStart"/>
      <w:r w:rsidR="00B27061" w:rsidRPr="003D3B0D">
        <w:rPr>
          <w:rFonts w:cs="Arial"/>
          <w:i/>
          <w:sz w:val="16"/>
          <w:szCs w:val="16"/>
          <w:lang w:val="en-GB" w:eastAsia="zh-CN"/>
        </w:rPr>
        <w:t>Scells</w:t>
      </w:r>
      <w:proofErr w:type="spellEnd"/>
      <w:r w:rsidR="00B27061" w:rsidRPr="00C0612A">
        <w:rPr>
          <w:rFonts w:cs="Arial"/>
          <w:sz w:val="16"/>
          <w:szCs w:val="16"/>
          <w:lang w:val="en-GB" w:eastAsia="zh-CN"/>
        </w:rPr>
        <w:t>, ZTE, DISC</w:t>
      </w:r>
    </w:p>
    <w:p w14:paraId="115822C4" w14:textId="3716EA2F" w:rsidR="00B27061" w:rsidRPr="00C0612A" w:rsidRDefault="00477704" w:rsidP="00C0612A">
      <w:pPr>
        <w:numPr>
          <w:ilvl w:val="0"/>
          <w:numId w:val="1"/>
        </w:numPr>
        <w:spacing w:after="60"/>
        <w:rPr>
          <w:rFonts w:cs="Arial"/>
          <w:sz w:val="16"/>
          <w:szCs w:val="16"/>
          <w:lang w:val="en-GB" w:eastAsia="zh-CN"/>
        </w:rPr>
      </w:pPr>
      <w:hyperlink r:id="rId12" w:history="1">
        <w:r w:rsidR="00B27061" w:rsidRPr="00C0612A">
          <w:rPr>
            <w:rStyle w:val="Hyperlink"/>
            <w:rFonts w:cs="Arial"/>
            <w:sz w:val="16"/>
            <w:szCs w:val="16"/>
            <w:lang w:val="en-GB" w:eastAsia="zh-CN"/>
          </w:rPr>
          <w:t>R2-1901005</w:t>
        </w:r>
      </w:hyperlink>
      <w:r w:rsidR="003D3B0D">
        <w:rPr>
          <w:rFonts w:cs="Arial"/>
          <w:sz w:val="16"/>
          <w:szCs w:val="16"/>
          <w:lang w:val="en-GB" w:eastAsia="zh-CN"/>
        </w:rPr>
        <w:t xml:space="preserve"> ,</w:t>
      </w:r>
      <w:r w:rsidR="00B27061" w:rsidRPr="003D3B0D">
        <w:rPr>
          <w:rFonts w:cs="Arial"/>
          <w:i/>
          <w:sz w:val="16"/>
          <w:szCs w:val="16"/>
          <w:lang w:val="en-GB" w:eastAsia="zh-CN"/>
        </w:rPr>
        <w:t>Efficient SCell management</w:t>
      </w:r>
      <w:r w:rsidR="00B27061" w:rsidRPr="00C0612A">
        <w:rPr>
          <w:rFonts w:cs="Arial"/>
          <w:sz w:val="16"/>
          <w:szCs w:val="16"/>
          <w:lang w:val="en-GB" w:eastAsia="zh-CN"/>
        </w:rPr>
        <w:t>, NEC, DISC</w:t>
      </w:r>
    </w:p>
    <w:p w14:paraId="3D81D725" w14:textId="0522E006" w:rsidR="00B27061" w:rsidRPr="00C0612A" w:rsidRDefault="00477704" w:rsidP="00C0612A">
      <w:pPr>
        <w:numPr>
          <w:ilvl w:val="0"/>
          <w:numId w:val="1"/>
        </w:numPr>
        <w:spacing w:after="60"/>
        <w:rPr>
          <w:rFonts w:cs="Arial"/>
          <w:sz w:val="16"/>
          <w:szCs w:val="16"/>
          <w:lang w:val="en-GB" w:eastAsia="zh-CN"/>
        </w:rPr>
      </w:pPr>
      <w:hyperlink r:id="rId13" w:history="1">
        <w:r w:rsidR="00B27061" w:rsidRPr="00C0612A">
          <w:rPr>
            <w:rStyle w:val="Hyperlink"/>
            <w:rFonts w:cs="Arial"/>
            <w:sz w:val="16"/>
            <w:szCs w:val="16"/>
            <w:lang w:val="en-GB" w:eastAsia="zh-CN"/>
          </w:rPr>
          <w:t>R2-1900208</w:t>
        </w:r>
      </w:hyperlink>
      <w:r w:rsidR="003D3B0D">
        <w:rPr>
          <w:rFonts w:cs="Arial"/>
          <w:sz w:val="16"/>
          <w:szCs w:val="16"/>
          <w:lang w:val="en-GB" w:eastAsia="zh-CN"/>
        </w:rPr>
        <w:t xml:space="preserve">, </w:t>
      </w:r>
      <w:r w:rsidR="00B27061" w:rsidRPr="003D3B0D">
        <w:rPr>
          <w:rFonts w:cs="Arial"/>
          <w:i/>
          <w:sz w:val="16"/>
          <w:szCs w:val="16"/>
          <w:lang w:val="en-GB" w:eastAsia="zh-CN"/>
        </w:rPr>
        <w:t>Dormant State of SCG</w:t>
      </w:r>
      <w:r w:rsidR="00B27061" w:rsidRPr="00C0612A">
        <w:rPr>
          <w:rFonts w:cs="Arial"/>
          <w:sz w:val="16"/>
          <w:szCs w:val="16"/>
          <w:lang w:val="en-GB" w:eastAsia="zh-CN"/>
        </w:rPr>
        <w:t>, CATT, DISC</w:t>
      </w:r>
    </w:p>
    <w:p w14:paraId="392782AE" w14:textId="25F8FC94" w:rsidR="00B27061" w:rsidRPr="00C0612A" w:rsidRDefault="00477704" w:rsidP="00C0612A">
      <w:pPr>
        <w:numPr>
          <w:ilvl w:val="0"/>
          <w:numId w:val="1"/>
        </w:numPr>
        <w:spacing w:after="60"/>
        <w:rPr>
          <w:rFonts w:cs="Arial"/>
          <w:sz w:val="16"/>
          <w:szCs w:val="16"/>
          <w:lang w:val="en-GB" w:eastAsia="zh-CN"/>
        </w:rPr>
      </w:pPr>
      <w:hyperlink r:id="rId14" w:history="1">
        <w:r w:rsidR="00B27061" w:rsidRPr="00C0612A">
          <w:rPr>
            <w:rStyle w:val="Hyperlink"/>
            <w:rFonts w:cs="Arial"/>
            <w:sz w:val="16"/>
            <w:szCs w:val="16"/>
            <w:lang w:val="en-GB" w:eastAsia="zh-CN"/>
          </w:rPr>
          <w:t>R2-1901272</w:t>
        </w:r>
      </w:hyperlink>
      <w:r w:rsidR="003D3B0D">
        <w:rPr>
          <w:rFonts w:cs="Arial"/>
          <w:sz w:val="16"/>
          <w:szCs w:val="16"/>
          <w:lang w:val="en-GB" w:eastAsia="zh-CN"/>
        </w:rPr>
        <w:t xml:space="preserve">, </w:t>
      </w:r>
      <w:r w:rsidR="00B27061" w:rsidRPr="003D3B0D">
        <w:rPr>
          <w:rFonts w:cs="Arial"/>
          <w:i/>
          <w:sz w:val="16"/>
          <w:szCs w:val="16"/>
          <w:lang w:val="en-GB" w:eastAsia="zh-CN"/>
        </w:rPr>
        <w:t>Power efficient CA and DC</w:t>
      </w:r>
      <w:r w:rsidR="00B27061" w:rsidRPr="00C0612A">
        <w:rPr>
          <w:rFonts w:cs="Arial"/>
          <w:sz w:val="16"/>
          <w:szCs w:val="16"/>
          <w:lang w:val="en-GB" w:eastAsia="zh-CN"/>
        </w:rPr>
        <w:t>, Ericsson, DISC</w:t>
      </w:r>
    </w:p>
    <w:p w14:paraId="3BCD17B1" w14:textId="5BFE8EA8" w:rsidR="00B27061" w:rsidRPr="00C0612A" w:rsidRDefault="00477704" w:rsidP="00C0612A">
      <w:pPr>
        <w:numPr>
          <w:ilvl w:val="0"/>
          <w:numId w:val="1"/>
        </w:numPr>
        <w:spacing w:after="60"/>
        <w:rPr>
          <w:rFonts w:cs="Arial"/>
          <w:sz w:val="16"/>
          <w:szCs w:val="16"/>
          <w:lang w:val="en-GB" w:eastAsia="zh-CN"/>
        </w:rPr>
      </w:pPr>
      <w:hyperlink r:id="rId15" w:history="1">
        <w:r w:rsidR="00B27061" w:rsidRPr="00C0612A">
          <w:rPr>
            <w:rStyle w:val="Hyperlink"/>
            <w:rFonts w:cs="Arial"/>
            <w:sz w:val="16"/>
            <w:szCs w:val="16"/>
            <w:lang w:val="en-GB" w:eastAsia="zh-CN"/>
          </w:rPr>
          <w:t>R2-1900209</w:t>
        </w:r>
      </w:hyperlink>
      <w:r w:rsidR="003D3B0D">
        <w:rPr>
          <w:rFonts w:cs="Arial"/>
          <w:sz w:val="16"/>
          <w:szCs w:val="16"/>
          <w:lang w:val="en-GB" w:eastAsia="zh-CN"/>
        </w:rPr>
        <w:t xml:space="preserve">, </w:t>
      </w:r>
      <w:r w:rsidR="00B27061" w:rsidRPr="003D3B0D">
        <w:rPr>
          <w:rFonts w:cs="Arial"/>
          <w:i/>
          <w:sz w:val="16"/>
          <w:szCs w:val="16"/>
          <w:lang w:val="en-GB" w:eastAsia="zh-CN"/>
        </w:rPr>
        <w:t xml:space="preserve">Short CSI Report for </w:t>
      </w:r>
      <w:proofErr w:type="spellStart"/>
      <w:r w:rsidR="00B27061" w:rsidRPr="003D3B0D">
        <w:rPr>
          <w:rFonts w:cs="Arial"/>
          <w:i/>
          <w:sz w:val="16"/>
          <w:szCs w:val="16"/>
          <w:lang w:val="en-GB" w:eastAsia="zh-CN"/>
        </w:rPr>
        <w:t>SpCell</w:t>
      </w:r>
      <w:proofErr w:type="spellEnd"/>
      <w:r w:rsidR="00B27061" w:rsidRPr="00C0612A">
        <w:rPr>
          <w:rFonts w:cs="Arial"/>
          <w:sz w:val="16"/>
          <w:szCs w:val="16"/>
          <w:lang w:val="en-GB" w:eastAsia="zh-CN"/>
        </w:rPr>
        <w:t>, CATT, DISC</w:t>
      </w:r>
      <w:r w:rsidR="00B27061" w:rsidRPr="00C0612A">
        <w:rPr>
          <w:rFonts w:cs="Arial"/>
          <w:sz w:val="16"/>
          <w:szCs w:val="16"/>
          <w:u w:val="single"/>
          <w:lang w:val="en-GB" w:eastAsia="zh-CN"/>
        </w:rPr>
        <w:t xml:space="preserve"> </w:t>
      </w:r>
    </w:p>
    <w:p w14:paraId="4612A9E8" w14:textId="4FB3BB84" w:rsidR="00B27061" w:rsidRPr="00C0612A" w:rsidRDefault="00477704" w:rsidP="006B4047">
      <w:pPr>
        <w:numPr>
          <w:ilvl w:val="0"/>
          <w:numId w:val="1"/>
        </w:numPr>
        <w:spacing w:before="60" w:after="60"/>
        <w:rPr>
          <w:rFonts w:cs="Arial"/>
          <w:sz w:val="16"/>
          <w:szCs w:val="16"/>
          <w:lang w:val="en-GB" w:eastAsia="zh-CN"/>
        </w:rPr>
      </w:pPr>
      <w:hyperlink r:id="rId16" w:history="1">
        <w:r w:rsidR="00B27061" w:rsidRPr="00C0612A">
          <w:rPr>
            <w:rStyle w:val="Hyperlink"/>
            <w:rFonts w:cs="Arial"/>
            <w:sz w:val="16"/>
            <w:szCs w:val="16"/>
            <w:lang w:val="en-GB" w:eastAsia="zh-CN"/>
          </w:rPr>
          <w:t>R2-1901616</w:t>
        </w:r>
      </w:hyperlink>
      <w:r w:rsidR="003D3B0D">
        <w:rPr>
          <w:rFonts w:cs="Arial"/>
          <w:sz w:val="16"/>
          <w:szCs w:val="16"/>
          <w:lang w:val="en-GB" w:eastAsia="zh-CN"/>
        </w:rPr>
        <w:t xml:space="preserve">, </w:t>
      </w:r>
      <w:r w:rsidR="00B27061" w:rsidRPr="003D3B0D">
        <w:rPr>
          <w:rFonts w:cs="Arial"/>
          <w:i/>
          <w:sz w:val="16"/>
          <w:szCs w:val="16"/>
          <w:lang w:val="en-GB" w:eastAsia="zh-CN"/>
        </w:rPr>
        <w:t>Enabling fast SN change</w:t>
      </w:r>
      <w:r w:rsidR="00B27061" w:rsidRPr="00C0612A">
        <w:rPr>
          <w:rFonts w:cs="Arial"/>
          <w:sz w:val="16"/>
          <w:szCs w:val="16"/>
          <w:lang w:val="en-GB" w:eastAsia="zh-CN"/>
        </w:rPr>
        <w:t>, Huawei, DISC</w:t>
      </w:r>
      <w:r w:rsidR="00B27061" w:rsidRPr="00C0612A">
        <w:rPr>
          <w:rFonts w:cs="Arial"/>
          <w:sz w:val="16"/>
          <w:szCs w:val="16"/>
          <w:u w:val="single"/>
          <w:lang w:val="en-GB" w:eastAsia="zh-CN"/>
        </w:rPr>
        <w:t xml:space="preserve"> </w:t>
      </w:r>
    </w:p>
    <w:p w14:paraId="550D037E" w14:textId="52235F73" w:rsidR="00B27061" w:rsidRDefault="00477704" w:rsidP="006B4047">
      <w:pPr>
        <w:numPr>
          <w:ilvl w:val="0"/>
          <w:numId w:val="1"/>
        </w:numPr>
        <w:spacing w:before="60" w:after="60"/>
        <w:rPr>
          <w:rFonts w:cs="Arial"/>
          <w:sz w:val="16"/>
          <w:szCs w:val="16"/>
          <w:lang w:val="en-GB" w:eastAsia="zh-CN"/>
        </w:rPr>
      </w:pPr>
      <w:hyperlink r:id="rId17" w:history="1">
        <w:r w:rsidR="00B27061" w:rsidRPr="00C0612A">
          <w:rPr>
            <w:rStyle w:val="Hyperlink"/>
            <w:rFonts w:cs="Arial"/>
            <w:sz w:val="16"/>
            <w:szCs w:val="16"/>
            <w:lang w:val="en-GB" w:eastAsia="zh-CN"/>
          </w:rPr>
          <w:t>R2-1902175</w:t>
        </w:r>
      </w:hyperlink>
      <w:r w:rsidR="003D3B0D">
        <w:rPr>
          <w:rFonts w:cs="Arial"/>
          <w:sz w:val="16"/>
          <w:szCs w:val="16"/>
          <w:lang w:val="en-GB" w:eastAsia="zh-CN"/>
        </w:rPr>
        <w:t xml:space="preserve">, </w:t>
      </w:r>
      <w:r w:rsidR="00B27061" w:rsidRPr="003D3B0D">
        <w:rPr>
          <w:rFonts w:cs="Arial"/>
          <w:i/>
          <w:sz w:val="16"/>
          <w:szCs w:val="16"/>
          <w:lang w:val="en-GB" w:eastAsia="zh-CN"/>
        </w:rPr>
        <w:t>Fast cell setup for MR-DC and CA in RRC inactive</w:t>
      </w:r>
      <w:r w:rsidR="00B27061" w:rsidRPr="00C0612A">
        <w:rPr>
          <w:rFonts w:cs="Arial"/>
          <w:sz w:val="16"/>
          <w:szCs w:val="16"/>
          <w:lang w:val="en-GB" w:eastAsia="zh-CN"/>
        </w:rPr>
        <w:t>, LG, DISC</w:t>
      </w:r>
    </w:p>
    <w:p w14:paraId="6BD30C22" w14:textId="58724B6C" w:rsidR="007C47E9" w:rsidRDefault="00477704" w:rsidP="006B4047">
      <w:pPr>
        <w:numPr>
          <w:ilvl w:val="0"/>
          <w:numId w:val="1"/>
        </w:numPr>
        <w:overflowPunct w:val="0"/>
        <w:autoSpaceDE w:val="0"/>
        <w:autoSpaceDN w:val="0"/>
        <w:adjustRightInd w:val="0"/>
        <w:spacing w:before="60" w:after="60"/>
        <w:textAlignment w:val="baseline"/>
        <w:rPr>
          <w:rFonts w:cs="Arial"/>
          <w:sz w:val="16"/>
          <w:szCs w:val="16"/>
          <w:lang w:val="de-DE"/>
        </w:rPr>
      </w:pPr>
      <w:hyperlink r:id="rId18" w:history="1">
        <w:r w:rsidR="007C47E9" w:rsidRPr="002D0EF8">
          <w:rPr>
            <w:rStyle w:val="Hyperlink"/>
            <w:rFonts w:cs="Arial"/>
            <w:sz w:val="16"/>
            <w:szCs w:val="16"/>
            <w:lang w:val="de-DE"/>
          </w:rPr>
          <w:t>RP-182006</w:t>
        </w:r>
      </w:hyperlink>
      <w:r w:rsidR="007C47E9" w:rsidRPr="002D0EF8">
        <w:rPr>
          <w:rFonts w:cs="Arial"/>
          <w:sz w:val="16"/>
          <w:szCs w:val="16"/>
          <w:lang w:val="de-DE"/>
        </w:rPr>
        <w:t xml:space="preserve">, </w:t>
      </w:r>
      <w:r w:rsidR="007C47E9" w:rsidRPr="002D0EF8">
        <w:rPr>
          <w:rFonts w:cs="Arial"/>
          <w:i/>
          <w:sz w:val="16"/>
          <w:szCs w:val="16"/>
          <w:lang w:val="de-DE"/>
        </w:rPr>
        <w:t>Signalling for euCA (Enhancing LTE CA Utilization),</w:t>
      </w:r>
      <w:r w:rsidR="007C47E9" w:rsidRPr="002D0EF8">
        <w:rPr>
          <w:rFonts w:cs="Arial"/>
          <w:sz w:val="16"/>
          <w:szCs w:val="16"/>
          <w:lang w:val="de-DE"/>
        </w:rPr>
        <w:t xml:space="preserve"> Nokia, CR 36.331, RAN#81</w:t>
      </w:r>
    </w:p>
    <w:p w14:paraId="58954975" w14:textId="77777777" w:rsidR="00B27061" w:rsidRPr="0041304F" w:rsidRDefault="00B27061" w:rsidP="00682662">
      <w:pPr>
        <w:tabs>
          <w:tab w:val="num" w:pos="993"/>
        </w:tabs>
        <w:overflowPunct w:val="0"/>
        <w:autoSpaceDE w:val="0"/>
        <w:autoSpaceDN w:val="0"/>
        <w:adjustRightInd w:val="0"/>
        <w:spacing w:after="180"/>
        <w:textAlignment w:val="baseline"/>
        <w:rPr>
          <w:rFonts w:cs="Arial"/>
          <w:lang w:val="de-DE"/>
        </w:rPr>
      </w:pPr>
    </w:p>
    <w:sectPr w:rsidR="00B27061" w:rsidRPr="0041304F" w:rsidSect="001069AD">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352D5" w14:textId="77777777" w:rsidR="00EC1530" w:rsidRDefault="00EC1530">
      <w:r>
        <w:separator/>
      </w:r>
    </w:p>
  </w:endnote>
  <w:endnote w:type="continuationSeparator" w:id="0">
    <w:p w14:paraId="12A51FA7" w14:textId="77777777" w:rsidR="00EC1530" w:rsidRDefault="00EC1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4D"/>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82D98" w14:textId="77777777" w:rsidR="00EC1530" w:rsidRDefault="00EC1530">
      <w:r>
        <w:separator/>
      </w:r>
    </w:p>
  </w:footnote>
  <w:footnote w:type="continuationSeparator" w:id="0">
    <w:p w14:paraId="644870F9" w14:textId="77777777" w:rsidR="00EC1530" w:rsidRDefault="00EC1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1E2F1A"/>
    <w:multiLevelType w:val="hybridMultilevel"/>
    <w:tmpl w:val="7E168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BB43C8"/>
    <w:multiLevelType w:val="hybridMultilevel"/>
    <w:tmpl w:val="1C88D8C8"/>
    <w:lvl w:ilvl="0" w:tplc="FEE4FCD8">
      <w:start w:val="1"/>
      <w:numFmt w:val="bullet"/>
      <w:lvlText w:val="—"/>
      <w:lvlJc w:val="left"/>
      <w:pPr>
        <w:tabs>
          <w:tab w:val="num" w:pos="357"/>
        </w:tabs>
        <w:ind w:left="357" w:hanging="360"/>
      </w:pPr>
      <w:rPr>
        <w:rFonts w:ascii="Ericsson Hilda Light" w:hAnsi="Ericsson Hilda Light" w:hint="default"/>
      </w:rPr>
    </w:lvl>
    <w:lvl w:ilvl="1" w:tplc="7EB8C68A">
      <w:start w:val="142"/>
      <w:numFmt w:val="bullet"/>
      <w:lvlText w:val="—"/>
      <w:lvlJc w:val="left"/>
      <w:pPr>
        <w:tabs>
          <w:tab w:val="num" w:pos="1077"/>
        </w:tabs>
        <w:ind w:left="1077" w:hanging="360"/>
      </w:pPr>
      <w:rPr>
        <w:rFonts w:ascii="Ericsson Hilda Light" w:hAnsi="Ericsson Hilda Light" w:hint="default"/>
      </w:rPr>
    </w:lvl>
    <w:lvl w:ilvl="2" w:tplc="16BCA49C">
      <w:start w:val="142"/>
      <w:numFmt w:val="bullet"/>
      <w:lvlText w:val="—"/>
      <w:lvlJc w:val="left"/>
      <w:pPr>
        <w:tabs>
          <w:tab w:val="num" w:pos="1797"/>
        </w:tabs>
        <w:ind w:left="1797" w:hanging="360"/>
      </w:pPr>
      <w:rPr>
        <w:rFonts w:ascii="Ericsson Hilda Light" w:hAnsi="Ericsson Hilda Light" w:hint="default"/>
      </w:rPr>
    </w:lvl>
    <w:lvl w:ilvl="3" w:tplc="8506A07C" w:tentative="1">
      <w:start w:val="1"/>
      <w:numFmt w:val="bullet"/>
      <w:lvlText w:val="—"/>
      <w:lvlJc w:val="left"/>
      <w:pPr>
        <w:tabs>
          <w:tab w:val="num" w:pos="2517"/>
        </w:tabs>
        <w:ind w:left="2517" w:hanging="360"/>
      </w:pPr>
      <w:rPr>
        <w:rFonts w:ascii="Ericsson Hilda Light" w:hAnsi="Ericsson Hilda Light" w:hint="default"/>
      </w:rPr>
    </w:lvl>
    <w:lvl w:ilvl="4" w:tplc="4274DD14" w:tentative="1">
      <w:start w:val="1"/>
      <w:numFmt w:val="bullet"/>
      <w:lvlText w:val="—"/>
      <w:lvlJc w:val="left"/>
      <w:pPr>
        <w:tabs>
          <w:tab w:val="num" w:pos="3237"/>
        </w:tabs>
        <w:ind w:left="3237" w:hanging="360"/>
      </w:pPr>
      <w:rPr>
        <w:rFonts w:ascii="Ericsson Hilda Light" w:hAnsi="Ericsson Hilda Light" w:hint="default"/>
      </w:rPr>
    </w:lvl>
    <w:lvl w:ilvl="5" w:tplc="CF6C1D14" w:tentative="1">
      <w:start w:val="1"/>
      <w:numFmt w:val="bullet"/>
      <w:lvlText w:val="—"/>
      <w:lvlJc w:val="left"/>
      <w:pPr>
        <w:tabs>
          <w:tab w:val="num" w:pos="3957"/>
        </w:tabs>
        <w:ind w:left="3957" w:hanging="360"/>
      </w:pPr>
      <w:rPr>
        <w:rFonts w:ascii="Ericsson Hilda Light" w:hAnsi="Ericsson Hilda Light" w:hint="default"/>
      </w:rPr>
    </w:lvl>
    <w:lvl w:ilvl="6" w:tplc="D5666334" w:tentative="1">
      <w:start w:val="1"/>
      <w:numFmt w:val="bullet"/>
      <w:lvlText w:val="—"/>
      <w:lvlJc w:val="left"/>
      <w:pPr>
        <w:tabs>
          <w:tab w:val="num" w:pos="4677"/>
        </w:tabs>
        <w:ind w:left="4677" w:hanging="360"/>
      </w:pPr>
      <w:rPr>
        <w:rFonts w:ascii="Ericsson Hilda Light" w:hAnsi="Ericsson Hilda Light" w:hint="default"/>
      </w:rPr>
    </w:lvl>
    <w:lvl w:ilvl="7" w:tplc="48FA0A4A" w:tentative="1">
      <w:start w:val="1"/>
      <w:numFmt w:val="bullet"/>
      <w:lvlText w:val="—"/>
      <w:lvlJc w:val="left"/>
      <w:pPr>
        <w:tabs>
          <w:tab w:val="num" w:pos="5397"/>
        </w:tabs>
        <w:ind w:left="5397" w:hanging="360"/>
      </w:pPr>
      <w:rPr>
        <w:rFonts w:ascii="Ericsson Hilda Light" w:hAnsi="Ericsson Hilda Light" w:hint="default"/>
      </w:rPr>
    </w:lvl>
    <w:lvl w:ilvl="8" w:tplc="F82C634A" w:tentative="1">
      <w:start w:val="1"/>
      <w:numFmt w:val="bullet"/>
      <w:lvlText w:val="—"/>
      <w:lvlJc w:val="left"/>
      <w:pPr>
        <w:tabs>
          <w:tab w:val="num" w:pos="6117"/>
        </w:tabs>
        <w:ind w:left="6117" w:hanging="360"/>
      </w:pPr>
      <w:rPr>
        <w:rFonts w:ascii="Ericsson Hilda Light" w:hAnsi="Ericsson Hilda Light" w:hint="default"/>
      </w:rPr>
    </w:lvl>
  </w:abstractNum>
  <w:abstractNum w:abstractNumId="16"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F041D62"/>
    <w:multiLevelType w:val="hybridMultilevel"/>
    <w:tmpl w:val="29EC9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A773A3"/>
    <w:multiLevelType w:val="hybridMultilevel"/>
    <w:tmpl w:val="08002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0E976D4"/>
    <w:multiLevelType w:val="hybridMultilevel"/>
    <w:tmpl w:val="D69CDB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9A4615"/>
    <w:multiLevelType w:val="hybridMultilevel"/>
    <w:tmpl w:val="4888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96A44CB"/>
    <w:multiLevelType w:val="hybridMultilevel"/>
    <w:tmpl w:val="B31A6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FA6A15"/>
    <w:multiLevelType w:val="hybridMultilevel"/>
    <w:tmpl w:val="0B029AFC"/>
    <w:lvl w:ilvl="0" w:tplc="3426EABE">
      <w:start w:val="1"/>
      <w:numFmt w:val="bullet"/>
      <w:lvlText w:val="—"/>
      <w:lvlJc w:val="left"/>
      <w:pPr>
        <w:tabs>
          <w:tab w:val="num" w:pos="360"/>
        </w:tabs>
        <w:ind w:left="360" w:hanging="360"/>
      </w:pPr>
      <w:rPr>
        <w:rFonts w:ascii="Ericsson Hilda Light" w:hAnsi="Ericsson Hilda Light" w:hint="default"/>
      </w:rPr>
    </w:lvl>
    <w:lvl w:ilvl="1" w:tplc="F8AA3158">
      <w:start w:val="142"/>
      <w:numFmt w:val="bullet"/>
      <w:lvlText w:val="—"/>
      <w:lvlJc w:val="left"/>
      <w:pPr>
        <w:tabs>
          <w:tab w:val="num" w:pos="1080"/>
        </w:tabs>
        <w:ind w:left="1080" w:hanging="360"/>
      </w:pPr>
      <w:rPr>
        <w:rFonts w:ascii="Ericsson Hilda Light" w:hAnsi="Ericsson Hilda Light" w:hint="default"/>
      </w:rPr>
    </w:lvl>
    <w:lvl w:ilvl="2" w:tplc="4A2ABFC8">
      <w:start w:val="142"/>
      <w:numFmt w:val="bullet"/>
      <w:lvlText w:val="—"/>
      <w:lvlJc w:val="left"/>
      <w:pPr>
        <w:tabs>
          <w:tab w:val="num" w:pos="1800"/>
        </w:tabs>
        <w:ind w:left="1800" w:hanging="360"/>
      </w:pPr>
      <w:rPr>
        <w:rFonts w:ascii="Ericsson Hilda Light" w:hAnsi="Ericsson Hilda Light" w:hint="default"/>
      </w:rPr>
    </w:lvl>
    <w:lvl w:ilvl="3" w:tplc="0430E634">
      <w:start w:val="142"/>
      <w:numFmt w:val="bullet"/>
      <w:lvlText w:val="—"/>
      <w:lvlJc w:val="left"/>
      <w:pPr>
        <w:tabs>
          <w:tab w:val="num" w:pos="2520"/>
        </w:tabs>
        <w:ind w:left="2520" w:hanging="360"/>
      </w:pPr>
      <w:rPr>
        <w:rFonts w:ascii="Ericsson Hilda Light" w:hAnsi="Ericsson Hilda Light" w:hint="default"/>
      </w:rPr>
    </w:lvl>
    <w:lvl w:ilvl="4" w:tplc="FFB8DC96" w:tentative="1">
      <w:start w:val="1"/>
      <w:numFmt w:val="bullet"/>
      <w:lvlText w:val="—"/>
      <w:lvlJc w:val="left"/>
      <w:pPr>
        <w:tabs>
          <w:tab w:val="num" w:pos="3240"/>
        </w:tabs>
        <w:ind w:left="3240" w:hanging="360"/>
      </w:pPr>
      <w:rPr>
        <w:rFonts w:ascii="Ericsson Hilda Light" w:hAnsi="Ericsson Hilda Light" w:hint="default"/>
      </w:rPr>
    </w:lvl>
    <w:lvl w:ilvl="5" w:tplc="FEF6DFB2" w:tentative="1">
      <w:start w:val="1"/>
      <w:numFmt w:val="bullet"/>
      <w:lvlText w:val="—"/>
      <w:lvlJc w:val="left"/>
      <w:pPr>
        <w:tabs>
          <w:tab w:val="num" w:pos="3960"/>
        </w:tabs>
        <w:ind w:left="3960" w:hanging="360"/>
      </w:pPr>
      <w:rPr>
        <w:rFonts w:ascii="Ericsson Hilda Light" w:hAnsi="Ericsson Hilda Light" w:hint="default"/>
      </w:rPr>
    </w:lvl>
    <w:lvl w:ilvl="6" w:tplc="72A80FBC" w:tentative="1">
      <w:start w:val="1"/>
      <w:numFmt w:val="bullet"/>
      <w:lvlText w:val="—"/>
      <w:lvlJc w:val="left"/>
      <w:pPr>
        <w:tabs>
          <w:tab w:val="num" w:pos="4680"/>
        </w:tabs>
        <w:ind w:left="4680" w:hanging="360"/>
      </w:pPr>
      <w:rPr>
        <w:rFonts w:ascii="Ericsson Hilda Light" w:hAnsi="Ericsson Hilda Light" w:hint="default"/>
      </w:rPr>
    </w:lvl>
    <w:lvl w:ilvl="7" w:tplc="101C7FC6" w:tentative="1">
      <w:start w:val="1"/>
      <w:numFmt w:val="bullet"/>
      <w:lvlText w:val="—"/>
      <w:lvlJc w:val="left"/>
      <w:pPr>
        <w:tabs>
          <w:tab w:val="num" w:pos="5400"/>
        </w:tabs>
        <w:ind w:left="5400" w:hanging="360"/>
      </w:pPr>
      <w:rPr>
        <w:rFonts w:ascii="Ericsson Hilda Light" w:hAnsi="Ericsson Hilda Light" w:hint="default"/>
      </w:rPr>
    </w:lvl>
    <w:lvl w:ilvl="8" w:tplc="2D465174" w:tentative="1">
      <w:start w:val="1"/>
      <w:numFmt w:val="bullet"/>
      <w:lvlText w:val="—"/>
      <w:lvlJc w:val="left"/>
      <w:pPr>
        <w:tabs>
          <w:tab w:val="num" w:pos="6120"/>
        </w:tabs>
        <w:ind w:left="6120" w:hanging="360"/>
      </w:pPr>
      <w:rPr>
        <w:rFonts w:ascii="Ericsson Hilda Light" w:hAnsi="Ericsson Hilda Light" w:hint="default"/>
      </w:rPr>
    </w:lvl>
  </w:abstractNum>
  <w:abstractNum w:abstractNumId="47" w15:restartNumberingAfterBreak="0">
    <w:nsid w:val="75DD7AAD"/>
    <w:multiLevelType w:val="hybridMultilevel"/>
    <w:tmpl w:val="84E47DEE"/>
    <w:lvl w:ilvl="0" w:tplc="ABF46170">
      <w:start w:val="10"/>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9"/>
  </w:num>
  <w:num w:numId="2">
    <w:abstractNumId w:val="40"/>
  </w:num>
  <w:num w:numId="3">
    <w:abstractNumId w:val="19"/>
  </w:num>
  <w:num w:numId="4">
    <w:abstractNumId w:val="11"/>
  </w:num>
  <w:num w:numId="5">
    <w:abstractNumId w:val="41"/>
  </w:num>
  <w:num w:numId="6">
    <w:abstractNumId w:val="22"/>
  </w:num>
  <w:num w:numId="7">
    <w:abstractNumId w:val="38"/>
  </w:num>
  <w:num w:numId="8">
    <w:abstractNumId w:val="43"/>
  </w:num>
  <w:num w:numId="9">
    <w:abstractNumId w:val="14"/>
  </w:num>
  <w:num w:numId="10">
    <w:abstractNumId w:val="21"/>
  </w:num>
  <w:num w:numId="11">
    <w:abstractNumId w:val="18"/>
  </w:num>
  <w:num w:numId="12">
    <w:abstractNumId w:val="49"/>
  </w:num>
  <w:num w:numId="13">
    <w:abstractNumId w:val="16"/>
  </w:num>
  <w:num w:numId="14">
    <w:abstractNumId w:val="24"/>
  </w:num>
  <w:num w:numId="15">
    <w:abstractNumId w:val="42"/>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5"/>
  </w:num>
  <w:num w:numId="28">
    <w:abstractNumId w:val="17"/>
  </w:num>
  <w:num w:numId="29">
    <w:abstractNumId w:val="44"/>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7"/>
  </w:num>
  <w:num w:numId="32">
    <w:abstractNumId w:val="32"/>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1"/>
  </w:num>
  <w:num w:numId="36">
    <w:abstractNumId w:val="30"/>
  </w:num>
  <w:num w:numId="37">
    <w:abstractNumId w:val="33"/>
  </w:num>
  <w:num w:numId="38">
    <w:abstractNumId w:val="36"/>
  </w:num>
  <w:num w:numId="39">
    <w:abstractNumId w:val="48"/>
  </w:num>
  <w:num w:numId="40">
    <w:abstractNumId w:val="39"/>
  </w:num>
  <w:num w:numId="41">
    <w:abstractNumId w:val="15"/>
  </w:num>
  <w:num w:numId="42">
    <w:abstractNumId w:val="46"/>
  </w:num>
  <w:num w:numId="43">
    <w:abstractNumId w:val="47"/>
  </w:num>
  <w:num w:numId="44">
    <w:abstractNumId w:val="45"/>
  </w:num>
  <w:num w:numId="45">
    <w:abstractNumId w:val="12"/>
  </w:num>
  <w:num w:numId="46">
    <w:abstractNumId w:val="37"/>
  </w:num>
  <w:num w:numId="47">
    <w:abstractNumId w:val="23"/>
  </w:num>
  <w:num w:numId="48">
    <w:abstractNumId w:val="34"/>
  </w:num>
  <w:num w:numId="49">
    <w:abstractNumId w:val="28"/>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09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8C6"/>
    <w:rsid w:val="000028DD"/>
    <w:rsid w:val="0000311A"/>
    <w:rsid w:val="00003B59"/>
    <w:rsid w:val="0000455C"/>
    <w:rsid w:val="000059B7"/>
    <w:rsid w:val="00006CE2"/>
    <w:rsid w:val="00011902"/>
    <w:rsid w:val="00012285"/>
    <w:rsid w:val="00013C93"/>
    <w:rsid w:val="00020287"/>
    <w:rsid w:val="00020FFE"/>
    <w:rsid w:val="0002181B"/>
    <w:rsid w:val="00026C91"/>
    <w:rsid w:val="00027BEA"/>
    <w:rsid w:val="000343D3"/>
    <w:rsid w:val="000362CF"/>
    <w:rsid w:val="00037D31"/>
    <w:rsid w:val="00037F20"/>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1C7D"/>
    <w:rsid w:val="0008686B"/>
    <w:rsid w:val="00090AB1"/>
    <w:rsid w:val="00093955"/>
    <w:rsid w:val="0009603A"/>
    <w:rsid w:val="000A0538"/>
    <w:rsid w:val="000A20E0"/>
    <w:rsid w:val="000A360E"/>
    <w:rsid w:val="000A7088"/>
    <w:rsid w:val="000A7328"/>
    <w:rsid w:val="000A787E"/>
    <w:rsid w:val="000B2AED"/>
    <w:rsid w:val="000B47D4"/>
    <w:rsid w:val="000B593C"/>
    <w:rsid w:val="000C0661"/>
    <w:rsid w:val="000C2CCE"/>
    <w:rsid w:val="000C3430"/>
    <w:rsid w:val="000C4330"/>
    <w:rsid w:val="000C6C63"/>
    <w:rsid w:val="000D0D0D"/>
    <w:rsid w:val="000D1253"/>
    <w:rsid w:val="000D2C35"/>
    <w:rsid w:val="000D5115"/>
    <w:rsid w:val="000D7B04"/>
    <w:rsid w:val="000E2DC8"/>
    <w:rsid w:val="000E47A9"/>
    <w:rsid w:val="000E6807"/>
    <w:rsid w:val="000F2D1B"/>
    <w:rsid w:val="000F7866"/>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2CEB"/>
    <w:rsid w:val="00127D2C"/>
    <w:rsid w:val="001308CD"/>
    <w:rsid w:val="00130F86"/>
    <w:rsid w:val="00131FBE"/>
    <w:rsid w:val="00135810"/>
    <w:rsid w:val="00135EC3"/>
    <w:rsid w:val="0013686C"/>
    <w:rsid w:val="00136C0C"/>
    <w:rsid w:val="001405DB"/>
    <w:rsid w:val="001405E9"/>
    <w:rsid w:val="00141033"/>
    <w:rsid w:val="001412DA"/>
    <w:rsid w:val="00141635"/>
    <w:rsid w:val="001418FF"/>
    <w:rsid w:val="00143DE0"/>
    <w:rsid w:val="001460AC"/>
    <w:rsid w:val="00147469"/>
    <w:rsid w:val="00147CC0"/>
    <w:rsid w:val="00147E07"/>
    <w:rsid w:val="00150EAC"/>
    <w:rsid w:val="0015199E"/>
    <w:rsid w:val="00157DE0"/>
    <w:rsid w:val="00164767"/>
    <w:rsid w:val="001648FB"/>
    <w:rsid w:val="001659F2"/>
    <w:rsid w:val="00172C20"/>
    <w:rsid w:val="00175E87"/>
    <w:rsid w:val="0018431E"/>
    <w:rsid w:val="001845B1"/>
    <w:rsid w:val="00191C5C"/>
    <w:rsid w:val="001924EE"/>
    <w:rsid w:val="00192610"/>
    <w:rsid w:val="00194E7F"/>
    <w:rsid w:val="001A241E"/>
    <w:rsid w:val="001A2607"/>
    <w:rsid w:val="001A3300"/>
    <w:rsid w:val="001A7903"/>
    <w:rsid w:val="001A7BB7"/>
    <w:rsid w:val="001B1926"/>
    <w:rsid w:val="001B241A"/>
    <w:rsid w:val="001B5A6D"/>
    <w:rsid w:val="001C0ADE"/>
    <w:rsid w:val="001C4EEA"/>
    <w:rsid w:val="001C6BCF"/>
    <w:rsid w:val="001D01C0"/>
    <w:rsid w:val="001D5744"/>
    <w:rsid w:val="001D5EC7"/>
    <w:rsid w:val="001E6A9C"/>
    <w:rsid w:val="001F13E9"/>
    <w:rsid w:val="001F5CA1"/>
    <w:rsid w:val="002013B3"/>
    <w:rsid w:val="002114D0"/>
    <w:rsid w:val="00211629"/>
    <w:rsid w:val="00212767"/>
    <w:rsid w:val="002129BC"/>
    <w:rsid w:val="00213F7F"/>
    <w:rsid w:val="00215AB2"/>
    <w:rsid w:val="00217ECC"/>
    <w:rsid w:val="00225E2B"/>
    <w:rsid w:val="00226C55"/>
    <w:rsid w:val="0023429F"/>
    <w:rsid w:val="00236881"/>
    <w:rsid w:val="00241371"/>
    <w:rsid w:val="00241971"/>
    <w:rsid w:val="00243779"/>
    <w:rsid w:val="00244267"/>
    <w:rsid w:val="002500A8"/>
    <w:rsid w:val="00250587"/>
    <w:rsid w:val="0025240B"/>
    <w:rsid w:val="00260EC7"/>
    <w:rsid w:val="002733D0"/>
    <w:rsid w:val="00273C32"/>
    <w:rsid w:val="00274E81"/>
    <w:rsid w:val="00281BCA"/>
    <w:rsid w:val="00283532"/>
    <w:rsid w:val="00283E2E"/>
    <w:rsid w:val="00285CD3"/>
    <w:rsid w:val="00286831"/>
    <w:rsid w:val="0028711E"/>
    <w:rsid w:val="00290477"/>
    <w:rsid w:val="00295270"/>
    <w:rsid w:val="00297106"/>
    <w:rsid w:val="002971AA"/>
    <w:rsid w:val="002A16F8"/>
    <w:rsid w:val="002A2E7B"/>
    <w:rsid w:val="002A70F0"/>
    <w:rsid w:val="002B1EE7"/>
    <w:rsid w:val="002C1EF6"/>
    <w:rsid w:val="002C4082"/>
    <w:rsid w:val="002C6AEE"/>
    <w:rsid w:val="002D07C2"/>
    <w:rsid w:val="002D2D10"/>
    <w:rsid w:val="002E0414"/>
    <w:rsid w:val="002E083F"/>
    <w:rsid w:val="002E1A79"/>
    <w:rsid w:val="002E4760"/>
    <w:rsid w:val="002E5D2B"/>
    <w:rsid w:val="002E6C42"/>
    <w:rsid w:val="002F1048"/>
    <w:rsid w:val="002F3825"/>
    <w:rsid w:val="002F4578"/>
    <w:rsid w:val="002F703D"/>
    <w:rsid w:val="00306D5D"/>
    <w:rsid w:val="00310765"/>
    <w:rsid w:val="00314A99"/>
    <w:rsid w:val="00321A47"/>
    <w:rsid w:val="00321C1D"/>
    <w:rsid w:val="00322341"/>
    <w:rsid w:val="00324C91"/>
    <w:rsid w:val="0032761C"/>
    <w:rsid w:val="0033189C"/>
    <w:rsid w:val="00336C95"/>
    <w:rsid w:val="00343497"/>
    <w:rsid w:val="0034374B"/>
    <w:rsid w:val="00352BFE"/>
    <w:rsid w:val="00353A2E"/>
    <w:rsid w:val="0035547C"/>
    <w:rsid w:val="00357E4C"/>
    <w:rsid w:val="00361092"/>
    <w:rsid w:val="003730EF"/>
    <w:rsid w:val="0037552C"/>
    <w:rsid w:val="0037629E"/>
    <w:rsid w:val="0037719E"/>
    <w:rsid w:val="00383177"/>
    <w:rsid w:val="003906FC"/>
    <w:rsid w:val="0039103F"/>
    <w:rsid w:val="00393247"/>
    <w:rsid w:val="00395015"/>
    <w:rsid w:val="003A3A0E"/>
    <w:rsid w:val="003A5C51"/>
    <w:rsid w:val="003B5CD6"/>
    <w:rsid w:val="003C1556"/>
    <w:rsid w:val="003C1C5D"/>
    <w:rsid w:val="003D09AA"/>
    <w:rsid w:val="003D3B0D"/>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04F"/>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77704"/>
    <w:rsid w:val="00482878"/>
    <w:rsid w:val="0048287D"/>
    <w:rsid w:val="0048475F"/>
    <w:rsid w:val="00491971"/>
    <w:rsid w:val="0049756F"/>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5DC7"/>
    <w:rsid w:val="004F6067"/>
    <w:rsid w:val="004F62E1"/>
    <w:rsid w:val="0050109B"/>
    <w:rsid w:val="0050273A"/>
    <w:rsid w:val="00505418"/>
    <w:rsid w:val="00505AC7"/>
    <w:rsid w:val="005073E2"/>
    <w:rsid w:val="00510DAC"/>
    <w:rsid w:val="00513721"/>
    <w:rsid w:val="00513A0A"/>
    <w:rsid w:val="00514C2F"/>
    <w:rsid w:val="00515CEC"/>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4D7F"/>
    <w:rsid w:val="0057505D"/>
    <w:rsid w:val="00575E8D"/>
    <w:rsid w:val="00583C42"/>
    <w:rsid w:val="00585607"/>
    <w:rsid w:val="00593BA2"/>
    <w:rsid w:val="00594CE5"/>
    <w:rsid w:val="005950C4"/>
    <w:rsid w:val="005A0475"/>
    <w:rsid w:val="005A10D4"/>
    <w:rsid w:val="005A4001"/>
    <w:rsid w:val="005B0E5B"/>
    <w:rsid w:val="005B4B64"/>
    <w:rsid w:val="005B7E9E"/>
    <w:rsid w:val="005C16E7"/>
    <w:rsid w:val="005C4644"/>
    <w:rsid w:val="005C65A3"/>
    <w:rsid w:val="005C7318"/>
    <w:rsid w:val="005D1894"/>
    <w:rsid w:val="005D2FD4"/>
    <w:rsid w:val="005D4672"/>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5682"/>
    <w:rsid w:val="00647526"/>
    <w:rsid w:val="0065698D"/>
    <w:rsid w:val="00657C7A"/>
    <w:rsid w:val="0066119A"/>
    <w:rsid w:val="00663A35"/>
    <w:rsid w:val="00664529"/>
    <w:rsid w:val="00666EB6"/>
    <w:rsid w:val="006677BB"/>
    <w:rsid w:val="006731F3"/>
    <w:rsid w:val="006763E9"/>
    <w:rsid w:val="00676DAD"/>
    <w:rsid w:val="00682662"/>
    <w:rsid w:val="00685EC0"/>
    <w:rsid w:val="00690466"/>
    <w:rsid w:val="00691624"/>
    <w:rsid w:val="00691AA7"/>
    <w:rsid w:val="006A3181"/>
    <w:rsid w:val="006A39AE"/>
    <w:rsid w:val="006A6639"/>
    <w:rsid w:val="006B4047"/>
    <w:rsid w:val="006B5B69"/>
    <w:rsid w:val="006B5BD4"/>
    <w:rsid w:val="006B6B15"/>
    <w:rsid w:val="006C20C4"/>
    <w:rsid w:val="006C7C34"/>
    <w:rsid w:val="006D151A"/>
    <w:rsid w:val="006D1813"/>
    <w:rsid w:val="006D5962"/>
    <w:rsid w:val="006E27D1"/>
    <w:rsid w:val="006E3BE0"/>
    <w:rsid w:val="006E5B76"/>
    <w:rsid w:val="006E7D43"/>
    <w:rsid w:val="006F0FF8"/>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00F7"/>
    <w:rsid w:val="00770FDE"/>
    <w:rsid w:val="0077286C"/>
    <w:rsid w:val="00773DC4"/>
    <w:rsid w:val="00776F25"/>
    <w:rsid w:val="00782D8E"/>
    <w:rsid w:val="007837C7"/>
    <w:rsid w:val="00787E14"/>
    <w:rsid w:val="0079015D"/>
    <w:rsid w:val="00797CEE"/>
    <w:rsid w:val="007A1F58"/>
    <w:rsid w:val="007A7AB2"/>
    <w:rsid w:val="007A7B91"/>
    <w:rsid w:val="007B149C"/>
    <w:rsid w:val="007B23E4"/>
    <w:rsid w:val="007B30BC"/>
    <w:rsid w:val="007C0B18"/>
    <w:rsid w:val="007C2EF2"/>
    <w:rsid w:val="007C3BC8"/>
    <w:rsid w:val="007C4779"/>
    <w:rsid w:val="007C47E9"/>
    <w:rsid w:val="007C51DD"/>
    <w:rsid w:val="007C5293"/>
    <w:rsid w:val="007C52AF"/>
    <w:rsid w:val="007C6B1E"/>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045D"/>
    <w:rsid w:val="008576A8"/>
    <w:rsid w:val="00864238"/>
    <w:rsid w:val="008751B4"/>
    <w:rsid w:val="00876ABB"/>
    <w:rsid w:val="00877C7E"/>
    <w:rsid w:val="00882664"/>
    <w:rsid w:val="00887CFE"/>
    <w:rsid w:val="00890F1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D5284"/>
    <w:rsid w:val="008D7B55"/>
    <w:rsid w:val="008E0237"/>
    <w:rsid w:val="008E0B00"/>
    <w:rsid w:val="008E1744"/>
    <w:rsid w:val="008E251D"/>
    <w:rsid w:val="008E43D8"/>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8B1"/>
    <w:rsid w:val="00954AEC"/>
    <w:rsid w:val="00955B10"/>
    <w:rsid w:val="00965FE1"/>
    <w:rsid w:val="009661B0"/>
    <w:rsid w:val="00966569"/>
    <w:rsid w:val="00966906"/>
    <w:rsid w:val="009669EC"/>
    <w:rsid w:val="00967CC9"/>
    <w:rsid w:val="00972AAC"/>
    <w:rsid w:val="00975516"/>
    <w:rsid w:val="00977BBB"/>
    <w:rsid w:val="0098125E"/>
    <w:rsid w:val="00985517"/>
    <w:rsid w:val="00985612"/>
    <w:rsid w:val="009938ED"/>
    <w:rsid w:val="009A0FD5"/>
    <w:rsid w:val="009A1476"/>
    <w:rsid w:val="009B7330"/>
    <w:rsid w:val="009C0ACC"/>
    <w:rsid w:val="009C2050"/>
    <w:rsid w:val="009C38E7"/>
    <w:rsid w:val="009C6E39"/>
    <w:rsid w:val="009D11CF"/>
    <w:rsid w:val="009D3D40"/>
    <w:rsid w:val="009D6008"/>
    <w:rsid w:val="009D725A"/>
    <w:rsid w:val="009E744B"/>
    <w:rsid w:val="009E7C72"/>
    <w:rsid w:val="009F02FA"/>
    <w:rsid w:val="009F139E"/>
    <w:rsid w:val="009F567F"/>
    <w:rsid w:val="009F751D"/>
    <w:rsid w:val="00A01912"/>
    <w:rsid w:val="00A029DE"/>
    <w:rsid w:val="00A04AFF"/>
    <w:rsid w:val="00A074E8"/>
    <w:rsid w:val="00A10B08"/>
    <w:rsid w:val="00A11091"/>
    <w:rsid w:val="00A128F5"/>
    <w:rsid w:val="00A132D1"/>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5F1A"/>
    <w:rsid w:val="00AB6F51"/>
    <w:rsid w:val="00AB701F"/>
    <w:rsid w:val="00AC0E27"/>
    <w:rsid w:val="00AC63CE"/>
    <w:rsid w:val="00AC644A"/>
    <w:rsid w:val="00AD21B6"/>
    <w:rsid w:val="00AD4B91"/>
    <w:rsid w:val="00AE052B"/>
    <w:rsid w:val="00AE55BF"/>
    <w:rsid w:val="00AE57F7"/>
    <w:rsid w:val="00AF188F"/>
    <w:rsid w:val="00AF5EB7"/>
    <w:rsid w:val="00AF6208"/>
    <w:rsid w:val="00AF71DD"/>
    <w:rsid w:val="00B04F39"/>
    <w:rsid w:val="00B13B51"/>
    <w:rsid w:val="00B24CE6"/>
    <w:rsid w:val="00B250D5"/>
    <w:rsid w:val="00B26CFB"/>
    <w:rsid w:val="00B27061"/>
    <w:rsid w:val="00B32D49"/>
    <w:rsid w:val="00B4455E"/>
    <w:rsid w:val="00B4464E"/>
    <w:rsid w:val="00B44CFE"/>
    <w:rsid w:val="00B46189"/>
    <w:rsid w:val="00B51E62"/>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60F2"/>
    <w:rsid w:val="00B77417"/>
    <w:rsid w:val="00B8078F"/>
    <w:rsid w:val="00B83DAF"/>
    <w:rsid w:val="00B843DF"/>
    <w:rsid w:val="00B85A59"/>
    <w:rsid w:val="00B92651"/>
    <w:rsid w:val="00B92FD5"/>
    <w:rsid w:val="00B93A99"/>
    <w:rsid w:val="00B94AB5"/>
    <w:rsid w:val="00B95CD3"/>
    <w:rsid w:val="00BA1E62"/>
    <w:rsid w:val="00BA286C"/>
    <w:rsid w:val="00BA633E"/>
    <w:rsid w:val="00BB39E9"/>
    <w:rsid w:val="00BB4BED"/>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0612A"/>
    <w:rsid w:val="00C06E38"/>
    <w:rsid w:val="00C126DD"/>
    <w:rsid w:val="00C145B6"/>
    <w:rsid w:val="00C17AFC"/>
    <w:rsid w:val="00C20CA4"/>
    <w:rsid w:val="00C26256"/>
    <w:rsid w:val="00C35252"/>
    <w:rsid w:val="00C36420"/>
    <w:rsid w:val="00C36C06"/>
    <w:rsid w:val="00C40B91"/>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033C"/>
    <w:rsid w:val="00C73834"/>
    <w:rsid w:val="00C7413F"/>
    <w:rsid w:val="00C74C29"/>
    <w:rsid w:val="00C75606"/>
    <w:rsid w:val="00C76248"/>
    <w:rsid w:val="00C7694B"/>
    <w:rsid w:val="00C800BD"/>
    <w:rsid w:val="00C81C77"/>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5489"/>
    <w:rsid w:val="00D15A37"/>
    <w:rsid w:val="00D15C2B"/>
    <w:rsid w:val="00D17AE2"/>
    <w:rsid w:val="00D205FF"/>
    <w:rsid w:val="00D22BA9"/>
    <w:rsid w:val="00D232F5"/>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2B2B"/>
    <w:rsid w:val="00D74E12"/>
    <w:rsid w:val="00D81F6F"/>
    <w:rsid w:val="00D82E74"/>
    <w:rsid w:val="00D87F0D"/>
    <w:rsid w:val="00D92185"/>
    <w:rsid w:val="00D936ED"/>
    <w:rsid w:val="00D95D58"/>
    <w:rsid w:val="00D97D81"/>
    <w:rsid w:val="00DA42FF"/>
    <w:rsid w:val="00DB4026"/>
    <w:rsid w:val="00DB403B"/>
    <w:rsid w:val="00DB4F7D"/>
    <w:rsid w:val="00DB5BC6"/>
    <w:rsid w:val="00DB66D3"/>
    <w:rsid w:val="00DB70F3"/>
    <w:rsid w:val="00DC1553"/>
    <w:rsid w:val="00DD34CB"/>
    <w:rsid w:val="00DD43B0"/>
    <w:rsid w:val="00DD5520"/>
    <w:rsid w:val="00DD7378"/>
    <w:rsid w:val="00DE27BC"/>
    <w:rsid w:val="00DE5650"/>
    <w:rsid w:val="00DE6127"/>
    <w:rsid w:val="00DF0630"/>
    <w:rsid w:val="00DF2076"/>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4DF7"/>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1530"/>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16F"/>
    <w:rsid w:val="00F06A51"/>
    <w:rsid w:val="00F117AC"/>
    <w:rsid w:val="00F120D3"/>
    <w:rsid w:val="00F124D1"/>
    <w:rsid w:val="00F13A97"/>
    <w:rsid w:val="00F151A0"/>
    <w:rsid w:val="00F20A03"/>
    <w:rsid w:val="00F22F38"/>
    <w:rsid w:val="00F2498D"/>
    <w:rsid w:val="00F252CC"/>
    <w:rsid w:val="00F2538D"/>
    <w:rsid w:val="00F259D8"/>
    <w:rsid w:val="00F26244"/>
    <w:rsid w:val="00F26D58"/>
    <w:rsid w:val="00F27285"/>
    <w:rsid w:val="00F31234"/>
    <w:rsid w:val="00F31368"/>
    <w:rsid w:val="00F32EF1"/>
    <w:rsid w:val="00F33BD6"/>
    <w:rsid w:val="00F342CC"/>
    <w:rsid w:val="00F40933"/>
    <w:rsid w:val="00F4170B"/>
    <w:rsid w:val="00F42E1E"/>
    <w:rsid w:val="00F51F15"/>
    <w:rsid w:val="00F558B4"/>
    <w:rsid w:val="00F55A37"/>
    <w:rsid w:val="00F611EB"/>
    <w:rsid w:val="00F67B83"/>
    <w:rsid w:val="00F711E2"/>
    <w:rsid w:val="00F726B8"/>
    <w:rsid w:val="00F8408F"/>
    <w:rsid w:val="00F906EF"/>
    <w:rsid w:val="00F9288C"/>
    <w:rsid w:val="00FA1742"/>
    <w:rsid w:val="00FA239A"/>
    <w:rsid w:val="00FA27C0"/>
    <w:rsid w:val="00FA4143"/>
    <w:rsid w:val="00FA54C0"/>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Comments">
    <w:name w:val="Comments"/>
    <w:basedOn w:val="Normal"/>
    <w:link w:val="CommentsChar"/>
    <w:qFormat/>
    <w:rsid w:val="00037D31"/>
    <w:pPr>
      <w:spacing w:before="40" w:after="0"/>
    </w:pPr>
    <w:rPr>
      <w:rFonts w:eastAsia="MS Mincho"/>
      <w:i/>
      <w:noProof/>
      <w:sz w:val="18"/>
      <w:szCs w:val="24"/>
      <w:lang w:val="en-GB" w:eastAsia="en-GB"/>
    </w:rPr>
  </w:style>
  <w:style w:type="character" w:customStyle="1" w:styleId="CommentsChar">
    <w:name w:val="Comments Char"/>
    <w:link w:val="Comments"/>
    <w:rsid w:val="00037D31"/>
    <w:rPr>
      <w:rFonts w:ascii="Arial" w:eastAsia="MS Mincho" w:hAnsi="Arial"/>
      <w:i/>
      <w:noProof/>
      <w:sz w:val="18"/>
      <w:szCs w:val="24"/>
    </w:rPr>
  </w:style>
  <w:style w:type="paragraph" w:customStyle="1" w:styleId="TAL">
    <w:name w:val="TAL"/>
    <w:basedOn w:val="Normal"/>
    <w:link w:val="TALChar"/>
    <w:rsid w:val="00D15A37"/>
    <w:pPr>
      <w:keepNext/>
      <w:keepLines/>
      <w:overflowPunct w:val="0"/>
      <w:autoSpaceDE w:val="0"/>
      <w:autoSpaceDN w:val="0"/>
      <w:adjustRightInd w:val="0"/>
      <w:spacing w:after="0"/>
      <w:textAlignment w:val="baseline"/>
    </w:pPr>
    <w:rPr>
      <w:rFonts w:eastAsia="Times New Roman"/>
      <w:sz w:val="18"/>
      <w:szCs w:val="20"/>
      <w:lang w:val="en-GB" w:eastAsia="en-GB"/>
    </w:rPr>
  </w:style>
  <w:style w:type="paragraph" w:customStyle="1" w:styleId="TAH">
    <w:name w:val="TAH"/>
    <w:basedOn w:val="Normal"/>
    <w:link w:val="TAHChar"/>
    <w:rsid w:val="00D15A37"/>
    <w:pPr>
      <w:keepNext/>
      <w:keepLines/>
      <w:overflowPunct w:val="0"/>
      <w:autoSpaceDE w:val="0"/>
      <w:autoSpaceDN w:val="0"/>
      <w:adjustRightInd w:val="0"/>
      <w:spacing w:after="0"/>
      <w:jc w:val="center"/>
      <w:textAlignment w:val="baseline"/>
    </w:pPr>
    <w:rPr>
      <w:rFonts w:eastAsia="Times New Roman"/>
      <w:b/>
      <w:sz w:val="18"/>
      <w:szCs w:val="20"/>
      <w:lang w:val="en-GB" w:eastAsia="en-GB"/>
    </w:rPr>
  </w:style>
  <w:style w:type="character" w:customStyle="1" w:styleId="TALChar">
    <w:name w:val="TAL Char"/>
    <w:link w:val="TAL"/>
    <w:rsid w:val="00D15A37"/>
    <w:rPr>
      <w:rFonts w:ascii="Arial" w:eastAsia="Times New Roman" w:hAnsi="Arial"/>
      <w:sz w:val="18"/>
    </w:rPr>
  </w:style>
  <w:style w:type="character" w:customStyle="1" w:styleId="TAHChar">
    <w:name w:val="TAH Char"/>
    <w:link w:val="TAH"/>
    <w:rsid w:val="00D15A37"/>
    <w:rPr>
      <w:rFonts w:ascii="Arial" w:eastAsia="Times New Roman" w:hAnsi="Arial"/>
      <w:b/>
      <w:sz w:val="18"/>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D15A37"/>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73842913">
      <w:bodyDiv w:val="1"/>
      <w:marLeft w:val="0"/>
      <w:marRight w:val="0"/>
      <w:marTop w:val="0"/>
      <w:marBottom w:val="0"/>
      <w:divBdr>
        <w:top w:val="none" w:sz="0" w:space="0" w:color="auto"/>
        <w:left w:val="none" w:sz="0" w:space="0" w:color="auto"/>
        <w:bottom w:val="none" w:sz="0" w:space="0" w:color="auto"/>
        <w:right w:val="none" w:sz="0" w:space="0" w:color="auto"/>
      </w:divBdr>
      <w:divsChild>
        <w:div w:id="1241870070">
          <w:marLeft w:val="547"/>
          <w:marRight w:val="0"/>
          <w:marTop w:val="60"/>
          <w:marBottom w:val="0"/>
          <w:divBdr>
            <w:top w:val="none" w:sz="0" w:space="0" w:color="auto"/>
            <w:left w:val="none" w:sz="0" w:space="0" w:color="auto"/>
            <w:bottom w:val="none" w:sz="0" w:space="0" w:color="auto"/>
            <w:right w:val="none" w:sz="0" w:space="0" w:color="auto"/>
          </w:divBdr>
        </w:div>
        <w:div w:id="4669698">
          <w:marLeft w:val="1123"/>
          <w:marRight w:val="0"/>
          <w:marTop w:val="60"/>
          <w:marBottom w:val="0"/>
          <w:divBdr>
            <w:top w:val="none" w:sz="0" w:space="0" w:color="auto"/>
            <w:left w:val="none" w:sz="0" w:space="0" w:color="auto"/>
            <w:bottom w:val="none" w:sz="0" w:space="0" w:color="auto"/>
            <w:right w:val="none" w:sz="0" w:space="0" w:color="auto"/>
          </w:divBdr>
        </w:div>
        <w:div w:id="843860789">
          <w:marLeft w:val="1123"/>
          <w:marRight w:val="0"/>
          <w:marTop w:val="60"/>
          <w:marBottom w:val="0"/>
          <w:divBdr>
            <w:top w:val="none" w:sz="0" w:space="0" w:color="auto"/>
            <w:left w:val="none" w:sz="0" w:space="0" w:color="auto"/>
            <w:bottom w:val="none" w:sz="0" w:space="0" w:color="auto"/>
            <w:right w:val="none" w:sz="0" w:space="0" w:color="auto"/>
          </w:divBdr>
        </w:div>
        <w:div w:id="1863283283">
          <w:marLeft w:val="1123"/>
          <w:marRight w:val="0"/>
          <w:marTop w:val="60"/>
          <w:marBottom w:val="0"/>
          <w:divBdr>
            <w:top w:val="none" w:sz="0" w:space="0" w:color="auto"/>
            <w:left w:val="none" w:sz="0" w:space="0" w:color="auto"/>
            <w:bottom w:val="none" w:sz="0" w:space="0" w:color="auto"/>
            <w:right w:val="none" w:sz="0" w:space="0" w:color="auto"/>
          </w:divBdr>
        </w:div>
        <w:div w:id="1015814574">
          <w:marLeft w:val="1699"/>
          <w:marRight w:val="0"/>
          <w:marTop w:val="60"/>
          <w:marBottom w:val="0"/>
          <w:divBdr>
            <w:top w:val="none" w:sz="0" w:space="0" w:color="auto"/>
            <w:left w:val="none" w:sz="0" w:space="0" w:color="auto"/>
            <w:bottom w:val="none" w:sz="0" w:space="0" w:color="auto"/>
            <w:right w:val="none" w:sz="0" w:space="0" w:color="auto"/>
          </w:divBdr>
        </w:div>
        <w:div w:id="1834837193">
          <w:marLeft w:val="2261"/>
          <w:marRight w:val="0"/>
          <w:marTop w:val="60"/>
          <w:marBottom w:val="0"/>
          <w:divBdr>
            <w:top w:val="none" w:sz="0" w:space="0" w:color="auto"/>
            <w:left w:val="none" w:sz="0" w:space="0" w:color="auto"/>
            <w:bottom w:val="none" w:sz="0" w:space="0" w:color="auto"/>
            <w:right w:val="none" w:sz="0" w:space="0" w:color="auto"/>
          </w:divBdr>
        </w:div>
        <w:div w:id="1478570688">
          <w:marLeft w:val="2261"/>
          <w:marRight w:val="0"/>
          <w:marTop w:val="60"/>
          <w:marBottom w:val="0"/>
          <w:divBdr>
            <w:top w:val="none" w:sz="0" w:space="0" w:color="auto"/>
            <w:left w:val="none" w:sz="0" w:space="0" w:color="auto"/>
            <w:bottom w:val="none" w:sz="0" w:space="0" w:color="auto"/>
            <w:right w:val="none" w:sz="0" w:space="0" w:color="auto"/>
          </w:divBdr>
        </w:div>
        <w:div w:id="87387852">
          <w:marLeft w:val="2261"/>
          <w:marRight w:val="0"/>
          <w:marTop w:val="60"/>
          <w:marBottom w:val="0"/>
          <w:divBdr>
            <w:top w:val="none" w:sz="0" w:space="0" w:color="auto"/>
            <w:left w:val="none" w:sz="0" w:space="0" w:color="auto"/>
            <w:bottom w:val="none" w:sz="0" w:space="0" w:color="auto"/>
            <w:right w:val="none" w:sz="0" w:space="0" w:color="auto"/>
          </w:divBdr>
        </w:div>
        <w:div w:id="261493639">
          <w:marLeft w:val="2261"/>
          <w:marRight w:val="0"/>
          <w:marTop w:val="60"/>
          <w:marBottom w:val="0"/>
          <w:divBdr>
            <w:top w:val="none" w:sz="0" w:space="0" w:color="auto"/>
            <w:left w:val="none" w:sz="0" w:space="0" w:color="auto"/>
            <w:bottom w:val="none" w:sz="0" w:space="0" w:color="auto"/>
            <w:right w:val="none" w:sz="0" w:space="0" w:color="auto"/>
          </w:divBdr>
        </w:div>
        <w:div w:id="854423561">
          <w:marLeft w:val="2261"/>
          <w:marRight w:val="0"/>
          <w:marTop w:val="60"/>
          <w:marBottom w:val="0"/>
          <w:divBdr>
            <w:top w:val="none" w:sz="0" w:space="0" w:color="auto"/>
            <w:left w:val="none" w:sz="0" w:space="0" w:color="auto"/>
            <w:bottom w:val="none" w:sz="0" w:space="0" w:color="auto"/>
            <w:right w:val="none" w:sz="0" w:space="0" w:color="auto"/>
          </w:divBdr>
        </w:div>
        <w:div w:id="711154596">
          <w:marLeft w:val="2261"/>
          <w:marRight w:val="0"/>
          <w:marTop w:val="60"/>
          <w:marBottom w:val="0"/>
          <w:divBdr>
            <w:top w:val="none" w:sz="0" w:space="0" w:color="auto"/>
            <w:left w:val="none" w:sz="0" w:space="0" w:color="auto"/>
            <w:bottom w:val="none" w:sz="0" w:space="0" w:color="auto"/>
            <w:right w:val="none" w:sz="0" w:space="0" w:color="auto"/>
          </w:divBdr>
        </w:div>
        <w:div w:id="1706100009">
          <w:marLeft w:val="2261"/>
          <w:marRight w:val="0"/>
          <w:marTop w:val="60"/>
          <w:marBottom w:val="0"/>
          <w:divBdr>
            <w:top w:val="none" w:sz="0" w:space="0" w:color="auto"/>
            <w:left w:val="none" w:sz="0" w:space="0" w:color="auto"/>
            <w:bottom w:val="none" w:sz="0" w:space="0" w:color="auto"/>
            <w:right w:val="none" w:sz="0" w:space="0" w:color="auto"/>
          </w:divBdr>
        </w:div>
        <w:div w:id="1925412317">
          <w:marLeft w:val="547"/>
          <w:marRight w:val="0"/>
          <w:marTop w:val="60"/>
          <w:marBottom w:val="0"/>
          <w:divBdr>
            <w:top w:val="none" w:sz="0" w:space="0" w:color="auto"/>
            <w:left w:val="none" w:sz="0" w:space="0" w:color="auto"/>
            <w:bottom w:val="none" w:sz="0" w:space="0" w:color="auto"/>
            <w:right w:val="none" w:sz="0" w:space="0" w:color="auto"/>
          </w:divBdr>
        </w:div>
        <w:div w:id="1394619685">
          <w:marLeft w:val="1123"/>
          <w:marRight w:val="0"/>
          <w:marTop w:val="60"/>
          <w:marBottom w:val="0"/>
          <w:divBdr>
            <w:top w:val="none" w:sz="0" w:space="0" w:color="auto"/>
            <w:left w:val="none" w:sz="0" w:space="0" w:color="auto"/>
            <w:bottom w:val="none" w:sz="0" w:space="0" w:color="auto"/>
            <w:right w:val="none" w:sz="0" w:space="0" w:color="auto"/>
          </w:divBdr>
        </w:div>
        <w:div w:id="1289504846">
          <w:marLeft w:val="547"/>
          <w:marRight w:val="0"/>
          <w:marTop w:val="60"/>
          <w:marBottom w:val="0"/>
          <w:divBdr>
            <w:top w:val="none" w:sz="0" w:space="0" w:color="auto"/>
            <w:left w:val="none" w:sz="0" w:space="0" w:color="auto"/>
            <w:bottom w:val="none" w:sz="0" w:space="0" w:color="auto"/>
            <w:right w:val="none" w:sz="0" w:space="0" w:color="auto"/>
          </w:divBdr>
        </w:div>
        <w:div w:id="1565556708">
          <w:marLeft w:val="1123"/>
          <w:marRight w:val="0"/>
          <w:marTop w:val="60"/>
          <w:marBottom w:val="0"/>
          <w:divBdr>
            <w:top w:val="none" w:sz="0" w:space="0" w:color="auto"/>
            <w:left w:val="none" w:sz="0" w:space="0" w:color="auto"/>
            <w:bottom w:val="none" w:sz="0" w:space="0" w:color="auto"/>
            <w:right w:val="none" w:sz="0" w:space="0" w:color="auto"/>
          </w:divBdr>
        </w:div>
        <w:div w:id="1902642525">
          <w:marLeft w:val="1123"/>
          <w:marRight w:val="0"/>
          <w:marTop w:val="60"/>
          <w:marBottom w:val="0"/>
          <w:divBdr>
            <w:top w:val="none" w:sz="0" w:space="0" w:color="auto"/>
            <w:left w:val="none" w:sz="0" w:space="0" w:color="auto"/>
            <w:bottom w:val="none" w:sz="0" w:space="0" w:color="auto"/>
            <w:right w:val="none" w:sz="0" w:space="0" w:color="auto"/>
          </w:divBdr>
        </w:div>
        <w:div w:id="1760368135">
          <w:marLeft w:val="1123"/>
          <w:marRight w:val="0"/>
          <w:marTop w:val="60"/>
          <w:marBottom w:val="0"/>
          <w:divBdr>
            <w:top w:val="none" w:sz="0" w:space="0" w:color="auto"/>
            <w:left w:val="none" w:sz="0" w:space="0" w:color="auto"/>
            <w:bottom w:val="none" w:sz="0" w:space="0" w:color="auto"/>
            <w:right w:val="none" w:sz="0" w:space="0" w:color="auto"/>
          </w:divBdr>
        </w:div>
        <w:div w:id="2069037501">
          <w:marLeft w:val="1123"/>
          <w:marRight w:val="0"/>
          <w:marTop w:val="60"/>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04563468">
      <w:bodyDiv w:val="1"/>
      <w:marLeft w:val="0"/>
      <w:marRight w:val="0"/>
      <w:marTop w:val="0"/>
      <w:marBottom w:val="0"/>
      <w:divBdr>
        <w:top w:val="none" w:sz="0" w:space="0" w:color="auto"/>
        <w:left w:val="none" w:sz="0" w:space="0" w:color="auto"/>
        <w:bottom w:val="none" w:sz="0" w:space="0" w:color="auto"/>
        <w:right w:val="none" w:sz="0" w:space="0" w:color="auto"/>
      </w:divBdr>
    </w:div>
    <w:div w:id="1740440517">
      <w:bodyDiv w:val="1"/>
      <w:marLeft w:val="0"/>
      <w:marRight w:val="0"/>
      <w:marTop w:val="0"/>
      <w:marBottom w:val="0"/>
      <w:divBdr>
        <w:top w:val="none" w:sz="0" w:space="0" w:color="auto"/>
        <w:left w:val="none" w:sz="0" w:space="0" w:color="auto"/>
        <w:bottom w:val="none" w:sz="0" w:space="0" w:color="auto"/>
        <w:right w:val="none" w:sz="0" w:space="0" w:color="auto"/>
      </w:divBdr>
      <w:divsChild>
        <w:div w:id="179853965">
          <w:marLeft w:val="547"/>
          <w:marRight w:val="0"/>
          <w:marTop w:val="60"/>
          <w:marBottom w:val="0"/>
          <w:divBdr>
            <w:top w:val="none" w:sz="0" w:space="0" w:color="auto"/>
            <w:left w:val="none" w:sz="0" w:space="0" w:color="auto"/>
            <w:bottom w:val="none" w:sz="0" w:space="0" w:color="auto"/>
            <w:right w:val="none" w:sz="0" w:space="0" w:color="auto"/>
          </w:divBdr>
        </w:div>
        <w:div w:id="433130070">
          <w:marLeft w:val="1123"/>
          <w:marRight w:val="0"/>
          <w:marTop w:val="60"/>
          <w:marBottom w:val="0"/>
          <w:divBdr>
            <w:top w:val="none" w:sz="0" w:space="0" w:color="auto"/>
            <w:left w:val="none" w:sz="0" w:space="0" w:color="auto"/>
            <w:bottom w:val="none" w:sz="0" w:space="0" w:color="auto"/>
            <w:right w:val="none" w:sz="0" w:space="0" w:color="auto"/>
          </w:divBdr>
        </w:div>
        <w:div w:id="662122337">
          <w:marLeft w:val="1699"/>
          <w:marRight w:val="0"/>
          <w:marTop w:val="60"/>
          <w:marBottom w:val="0"/>
          <w:divBdr>
            <w:top w:val="none" w:sz="0" w:space="0" w:color="auto"/>
            <w:left w:val="none" w:sz="0" w:space="0" w:color="auto"/>
            <w:bottom w:val="none" w:sz="0" w:space="0" w:color="auto"/>
            <w:right w:val="none" w:sz="0" w:space="0" w:color="auto"/>
          </w:divBdr>
        </w:div>
        <w:div w:id="1729525358">
          <w:marLeft w:val="1699"/>
          <w:marRight w:val="0"/>
          <w:marTop w:val="60"/>
          <w:marBottom w:val="0"/>
          <w:divBdr>
            <w:top w:val="none" w:sz="0" w:space="0" w:color="auto"/>
            <w:left w:val="none" w:sz="0" w:space="0" w:color="auto"/>
            <w:bottom w:val="none" w:sz="0" w:space="0" w:color="auto"/>
            <w:right w:val="none" w:sz="0" w:space="0" w:color="auto"/>
          </w:divBdr>
        </w:div>
        <w:div w:id="1527787494">
          <w:marLeft w:val="1699"/>
          <w:marRight w:val="0"/>
          <w:marTop w:val="60"/>
          <w:marBottom w:val="0"/>
          <w:divBdr>
            <w:top w:val="none" w:sz="0" w:space="0" w:color="auto"/>
            <w:left w:val="none" w:sz="0" w:space="0" w:color="auto"/>
            <w:bottom w:val="none" w:sz="0" w:space="0" w:color="auto"/>
            <w:right w:val="none" w:sz="0" w:space="0" w:color="auto"/>
          </w:divBdr>
        </w:div>
        <w:div w:id="1076395136">
          <w:marLeft w:val="1123"/>
          <w:marRight w:val="0"/>
          <w:marTop w:val="60"/>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2_RL2/TSGR2_105/Docs/R2-1900208.zip" TargetMode="External"/><Relationship Id="rId18" Type="http://schemas.openxmlformats.org/officeDocument/2006/relationships/hyperlink" Target="http://www.3gpp.org/ftp/tsg_ran/TSG_RAN//TSGR_81/Docs/RP-182006.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ftp/tsg_ran/TSG_RAN//TSGR_81/Docs/RP-182076.zip" TargetMode="External"/><Relationship Id="rId12" Type="http://schemas.openxmlformats.org/officeDocument/2006/relationships/hyperlink" Target="http://www.3gpp.org/ftp/tsg_ran/WG2_RL2/TSGR2_105/Docs/R2-1901005.zip" TargetMode="External"/><Relationship Id="rId17" Type="http://schemas.openxmlformats.org/officeDocument/2006/relationships/hyperlink" Target="http://www.3gpp.org/ftp/tsg_ran/WG2_RL2/TSGR2_105/Docs/R2-1902175.zip" TargetMode="External"/><Relationship Id="rId2" Type="http://schemas.openxmlformats.org/officeDocument/2006/relationships/styles" Target="styles.xml"/><Relationship Id="rId16" Type="http://schemas.openxmlformats.org/officeDocument/2006/relationships/hyperlink" Target="http://www.3gpp.org/ftp/tsg_ran/WG2_RL2/TSGR2_105/Docs/R2-1901616.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5/Docs/R2-1900803.zip" TargetMode="External"/><Relationship Id="rId5" Type="http://schemas.openxmlformats.org/officeDocument/2006/relationships/footnotes" Target="footnotes.xml"/><Relationship Id="rId15" Type="http://schemas.openxmlformats.org/officeDocument/2006/relationships/hyperlink" Target="http://www.3gpp.org/ftp/tsg_ran/WG2_RL2/TSGR2_105/Docs/R2-1900209.zip" TargetMode="External"/><Relationship Id="rId10" Type="http://schemas.openxmlformats.org/officeDocument/2006/relationships/hyperlink" Target="http://www.3gpp.org/ftp/tsg_ran/WG2_RL2/TSGR2_105/Docs/R2-1901017.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3gpp.org/ftp/tsg_ran/WG2_RL2/TSGR2_105/Docs/R2-19012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54</cp:revision>
  <cp:lastPrinted>2009-10-21T14:47:00Z</cp:lastPrinted>
  <dcterms:created xsi:type="dcterms:W3CDTF">2019-03-24T08:52:00Z</dcterms:created>
  <dcterms:modified xsi:type="dcterms:W3CDTF">2019-03-28T13:34:00Z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